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2510687</w:t>
      </w:r>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94D71AD">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R19 Low band carrier aggregation </w:t>
      </w:r>
    </w:p>
    <w:p w14:paraId="50050C95">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7.3.4</w:t>
      </w:r>
      <w:bookmarkStart w:id="0" w:name="_GoBack"/>
      <w:bookmarkEnd w:id="0"/>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warm discussion were held and some important progress were achieved around some general framework, interruption and SCell related requirements etc. All these progress were captured in [1][2]. In this paper, we provide our further analysis on the following aspects:</w:t>
      </w:r>
    </w:p>
    <w:p w14:paraId="54D1C28F">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General</w:t>
      </w:r>
    </w:p>
    <w:p w14:paraId="651EB066">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Interruption requirements</w:t>
      </w:r>
    </w:p>
    <w:p w14:paraId="28231E79">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SDL SCell related requirements</w:t>
      </w:r>
    </w:p>
    <w:p w14:paraId="5734E5D6">
      <w:pPr>
        <w:pStyle w:val="2"/>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Impact on FDD PCell</w:t>
      </w:r>
    </w:p>
    <w:p w14:paraId="3E499FE9">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AC77D86">
      <w:pPr>
        <w:pStyle w:val="4"/>
        <w:bidi w:val="0"/>
        <w:rPr>
          <w:rFonts w:hint="default"/>
          <w:lang w:val="en-US" w:eastAsia="zh-CN"/>
        </w:rPr>
      </w:pPr>
      <w:r>
        <w:rPr>
          <w:rFonts w:hint="eastAsia"/>
          <w:lang w:val="en-US" w:eastAsia="zh-CN"/>
        </w:rPr>
        <w:t>2.1 General</w:t>
      </w:r>
    </w:p>
    <w:p w14:paraId="49CED582">
      <w:pPr>
        <w:pStyle w:val="2"/>
        <w:numPr>
          <w:ilvl w:val="0"/>
          <w:numId w:val="0"/>
        </w:numPr>
        <w:bidi w:val="0"/>
        <w:ind w:leftChars="0"/>
        <w:rPr>
          <w:rFonts w:hint="eastAsia"/>
          <w:u w:val="single"/>
          <w:lang w:val="en-US" w:eastAsia="ko-KR"/>
        </w:rPr>
      </w:pPr>
      <w:r>
        <w:rPr>
          <w:rFonts w:hint="eastAsia"/>
          <w:u w:val="single"/>
          <w:lang w:val="en-US" w:eastAsia="ko-KR"/>
        </w:rPr>
        <w:t>RRM requirement applicability for R19 LB CA via switching</w:t>
      </w:r>
    </w:p>
    <w:p w14:paraId="45697F18">
      <w:pPr>
        <w:pStyle w:val="2"/>
        <w:bidi w:val="0"/>
        <w:rPr>
          <w:rFonts w:hint="eastAsia"/>
          <w:lang w:val="en-US" w:eastAsia="zh-CN"/>
        </w:rPr>
      </w:pPr>
      <w:r>
        <w:rPr>
          <w:rFonts w:hint="eastAsia"/>
          <w:lang w:val="en-US" w:eastAsia="zh-CN"/>
        </w:rPr>
        <w:t>Some proposals were raised during last meeting to consider the applicability condition under which the requirements are valid or the principle of extending the delay on missed occasion due to switching pattern. We believe this issue should be discussed with the consideration of RAN1 progress on the switching pattern configuration until latest RAN1 #121 meeting. We listed some essential relevant agreements from RAN1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649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EB5C34C">
            <w:pPr>
              <w:keepNext w:val="0"/>
              <w:keepLines w:val="0"/>
              <w:pageBreakBefore w:val="0"/>
              <w:kinsoku/>
              <w:wordWrap/>
              <w:overflowPunct/>
              <w:topLinePunct w:val="0"/>
              <w:autoSpaceDE/>
              <w:autoSpaceDN/>
              <w:bidi w:val="0"/>
              <w:adjustRightInd/>
              <w:snapToGrid/>
              <w:textAlignment w:val="auto"/>
              <w:rPr>
                <w:rFonts w:hint="default" w:eastAsia="等线"/>
                <w:highlight w:val="none"/>
                <w:u w:val="single"/>
                <w:lang w:val="en-US" w:eastAsia="zh-CN"/>
              </w:rPr>
            </w:pPr>
            <w:r>
              <w:rPr>
                <w:rFonts w:hint="eastAsia" w:eastAsia="等线"/>
                <w:highlight w:val="none"/>
                <w:u w:val="single"/>
                <w:lang w:val="en-US" w:eastAsia="zh-CN"/>
              </w:rPr>
              <w:t>The exact semi-static switching pattern:</w:t>
            </w:r>
          </w:p>
          <w:p w14:paraId="237225DF">
            <w:pPr>
              <w:keepNext w:val="0"/>
              <w:keepLines w:val="0"/>
              <w:pageBreakBefore w:val="0"/>
              <w:kinsoku/>
              <w:wordWrap/>
              <w:overflowPunct/>
              <w:topLinePunct w:val="0"/>
              <w:autoSpaceDE/>
              <w:autoSpaceDN/>
              <w:bidi w:val="0"/>
              <w:adjustRightInd/>
              <w:snapToGrid/>
              <w:textAlignment w:val="auto"/>
              <w:rPr>
                <w:rFonts w:hint="default" w:eastAsia="等线"/>
                <w:highlight w:val="green"/>
                <w:lang w:val="en-US" w:eastAsia="zh-CN"/>
              </w:rPr>
            </w:pPr>
            <w:r>
              <w:rPr>
                <w:rFonts w:hint="eastAsia" w:eastAsia="等线"/>
                <w:highlight w:val="green"/>
                <w:lang w:eastAsia="zh-CN"/>
              </w:rPr>
              <w:t>Agreement</w:t>
            </w:r>
            <w:r>
              <w:rPr>
                <w:rFonts w:hint="eastAsia" w:eastAsia="等线"/>
                <w:highlight w:val="none"/>
                <w:lang w:val="en-US" w:eastAsia="zh-CN"/>
              </w:rPr>
              <w:t>(RAN1#120bis meeting)</w:t>
            </w:r>
          </w:p>
          <w:p w14:paraId="1632A9B8">
            <w:pPr>
              <w:pStyle w:val="31"/>
              <w:keepNext w:val="0"/>
              <w:keepLines w:val="0"/>
              <w:pageBreakBefore w:val="0"/>
              <w:numPr>
                <w:ilvl w:val="0"/>
                <w:numId w:val="6"/>
              </w:numPr>
              <w:kinsoku/>
              <w:wordWrap/>
              <w:overflowPunct/>
              <w:topLinePunct w:val="0"/>
              <w:autoSpaceDE/>
              <w:autoSpaceDN/>
              <w:bidi w:val="0"/>
              <w:adjustRightInd/>
              <w:snapToGrid/>
              <w:ind w:left="-120" w:leftChars="0"/>
              <w:contextualSpacing/>
              <w:textAlignment w:val="auto"/>
            </w:pPr>
            <w:r>
              <w:t>For RRC configuration of semi-static switching pattern in Rel-19 low NR band carrier aggregation via switching, support bitmap design</w:t>
            </w:r>
          </w:p>
          <w:p w14:paraId="3AF5D256">
            <w:pPr>
              <w:pStyle w:val="31"/>
              <w:keepNext w:val="0"/>
              <w:keepLines w:val="0"/>
              <w:pageBreakBefore w:val="0"/>
              <w:numPr>
                <w:ilvl w:val="1"/>
                <w:numId w:val="6"/>
              </w:numPr>
              <w:kinsoku/>
              <w:wordWrap/>
              <w:overflowPunct/>
              <w:topLinePunct w:val="0"/>
              <w:autoSpaceDE/>
              <w:autoSpaceDN/>
              <w:bidi w:val="0"/>
              <w:adjustRightInd/>
              <w:snapToGrid/>
              <w:ind w:left="600" w:leftChars="0"/>
              <w:contextualSpacing/>
              <w:textAlignment w:val="auto"/>
            </w:pPr>
            <w:r>
              <w:t xml:space="preserve">NW configures a periodicity, denoted as </w:t>
            </w:r>
            <w:r>
              <w:fldChar w:fldCharType="begin"/>
            </w:r>
            <w:r>
              <w:instrText xml:space="preserve"> QUOTE </w:instrText>
            </w:r>
            <w:r>
              <w:rPr>
                <w:position w:val="-5"/>
              </w:rPr>
              <w:pict>
                <v:shape id="_x0000_i1025"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instrText xml:space="preserve"> </w:instrText>
            </w:r>
            <w:r>
              <w:fldChar w:fldCharType="separate"/>
            </w:r>
            <w:r>
              <w:rPr>
                <w:position w:val="-5"/>
              </w:rPr>
              <w:pict>
                <v:shape id="_x0000_i1026"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fldChar w:fldCharType="end"/>
            </w:r>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28224743">
            <w:pPr>
              <w:pStyle w:val="31"/>
              <w:keepNext w:val="0"/>
              <w:keepLines w:val="0"/>
              <w:pageBreakBefore w:val="0"/>
              <w:numPr>
                <w:ilvl w:val="1"/>
                <w:numId w:val="6"/>
              </w:numPr>
              <w:kinsoku/>
              <w:wordWrap/>
              <w:overflowPunct/>
              <w:topLinePunct w:val="0"/>
              <w:autoSpaceDE/>
              <w:autoSpaceDN/>
              <w:bidi w:val="0"/>
              <w:adjustRightInd/>
              <w:snapToGrid/>
              <w:ind w:left="600" w:leftChars="0"/>
              <w:contextualSpacing/>
              <w:textAlignment w:val="auto"/>
              <w:rPr>
                <w:color w:val="000000"/>
              </w:rPr>
            </w:pPr>
            <w:r>
              <w:rPr>
                <w:color w:val="000000"/>
                <w:szCs w:val="20"/>
              </w:rPr>
              <w:t>The pattern starts from the beginning of SFN 0 of PCell</w:t>
            </w:r>
          </w:p>
          <w:p w14:paraId="583010FE">
            <w:pPr>
              <w:pStyle w:val="31"/>
              <w:keepNext w:val="0"/>
              <w:keepLines w:val="0"/>
              <w:pageBreakBefore w:val="0"/>
              <w:numPr>
                <w:ilvl w:val="0"/>
                <w:numId w:val="6"/>
              </w:numPr>
              <w:kinsoku/>
              <w:wordWrap/>
              <w:overflowPunct/>
              <w:topLinePunct w:val="0"/>
              <w:autoSpaceDE/>
              <w:autoSpaceDN/>
              <w:bidi w:val="0"/>
              <w:adjustRightInd/>
              <w:snapToGrid/>
              <w:ind w:left="-120" w:leftChars="0"/>
              <w:contextualSpacing/>
              <w:textAlignment w:val="auto"/>
              <w:rPr>
                <w:color w:val="000000"/>
              </w:rPr>
            </w:pPr>
            <w:r>
              <w:rPr>
                <w:color w:val="000000"/>
              </w:rPr>
              <w:t xml:space="preserve">Restriction of maximum X switch(es) within Y slot(s), </w:t>
            </w:r>
          </w:p>
          <w:p w14:paraId="236C276A">
            <w:pPr>
              <w:pStyle w:val="31"/>
              <w:keepNext w:val="0"/>
              <w:keepLines w:val="0"/>
              <w:pageBreakBefore w:val="0"/>
              <w:numPr>
                <w:ilvl w:val="1"/>
                <w:numId w:val="6"/>
              </w:numPr>
              <w:kinsoku/>
              <w:wordWrap/>
              <w:overflowPunct/>
              <w:topLinePunct w:val="0"/>
              <w:autoSpaceDE/>
              <w:autoSpaceDN/>
              <w:bidi w:val="0"/>
              <w:adjustRightInd/>
              <w:snapToGrid/>
              <w:ind w:left="600" w:leftChars="0"/>
              <w:contextualSpacing/>
              <w:textAlignment w:val="auto"/>
              <w:rPr>
                <w:color w:val="000000"/>
              </w:rPr>
            </w:pPr>
            <w:r>
              <w:rPr>
                <w:color w:val="000000"/>
              </w:rPr>
              <w:t xml:space="preserve">FFS: detailed value and relation of X and Y. </w:t>
            </w:r>
          </w:p>
          <w:p w14:paraId="1BAC4DEE">
            <w:pPr>
              <w:pStyle w:val="31"/>
              <w:keepNext w:val="0"/>
              <w:keepLines w:val="0"/>
              <w:pageBreakBefore w:val="0"/>
              <w:numPr>
                <w:ilvl w:val="0"/>
                <w:numId w:val="6"/>
              </w:numPr>
              <w:kinsoku/>
              <w:wordWrap/>
              <w:overflowPunct/>
              <w:topLinePunct w:val="0"/>
              <w:autoSpaceDE/>
              <w:autoSpaceDN/>
              <w:bidi w:val="0"/>
              <w:adjustRightInd/>
              <w:snapToGrid/>
              <w:ind w:left="-120" w:leftChars="0"/>
              <w:contextualSpacing/>
              <w:textAlignment w:val="auto"/>
              <w:rPr>
                <w:color w:val="000000"/>
              </w:rPr>
            </w:pPr>
            <w:r>
              <w:rPr>
                <w:color w:val="000000"/>
              </w:rPr>
              <w:t xml:space="preserve">FFS: other restriction </w:t>
            </w:r>
          </w:p>
          <w:p w14:paraId="29EFD328">
            <w:pPr>
              <w:keepNext w:val="0"/>
              <w:keepLines w:val="0"/>
              <w:pageBreakBefore w:val="0"/>
              <w:kinsoku/>
              <w:wordWrap/>
              <w:overflowPunct/>
              <w:topLinePunct w:val="0"/>
              <w:autoSpaceDE/>
              <w:autoSpaceDN/>
              <w:bidi w:val="0"/>
              <w:adjustRightInd/>
              <w:snapToGrid/>
              <w:textAlignment w:val="auto"/>
              <w:rPr>
                <w:rFonts w:hint="eastAsia" w:eastAsia="等线"/>
                <w:highlight w:val="green"/>
                <w:lang w:val="en-US" w:eastAsia="zh-CN"/>
              </w:rPr>
            </w:pPr>
            <w:r>
              <w:rPr>
                <w:rFonts w:hint="eastAsia" w:eastAsia="等线"/>
                <w:highlight w:val="green"/>
                <w:lang w:val="en-US" w:eastAsia="zh-CN"/>
              </w:rPr>
              <w:t>Agreement</w:t>
            </w:r>
            <w:r>
              <w:rPr>
                <w:rFonts w:hint="eastAsia" w:eastAsia="等线"/>
                <w:highlight w:val="none"/>
                <w:lang w:val="en-US" w:eastAsia="zh-CN"/>
              </w:rPr>
              <w:t>(RAN1#120bis meeting)</w:t>
            </w:r>
          </w:p>
          <w:p w14:paraId="428AD60A">
            <w:pPr>
              <w:keepNext w:val="0"/>
              <w:keepLines w:val="0"/>
              <w:pageBreakBefore w:val="0"/>
              <w:kinsoku/>
              <w:wordWrap/>
              <w:overflowPunct/>
              <w:topLinePunct w:val="0"/>
              <w:autoSpaceDE/>
              <w:autoSpaceDN/>
              <w:bidi w:val="0"/>
              <w:adjustRightInd/>
              <w:snapToGrid/>
              <w:textAlignment w:val="auto"/>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69FE152B">
            <w:pPr>
              <w:keepNext w:val="0"/>
              <w:keepLines w:val="0"/>
              <w:pageBreakBefore w:val="0"/>
              <w:kinsoku/>
              <w:wordWrap/>
              <w:overflowPunct/>
              <w:topLinePunct w:val="0"/>
              <w:autoSpaceDE/>
              <w:autoSpaceDN/>
              <w:bidi w:val="0"/>
              <w:adjustRightInd/>
              <w:snapToGrid/>
              <w:textAlignment w:val="auto"/>
              <w:rPr>
                <w:rFonts w:hint="eastAsia" w:eastAsia="等线"/>
                <w:highlight w:val="green"/>
                <w:lang w:val="en-US" w:eastAsia="zh-CN"/>
              </w:rPr>
            </w:pPr>
            <w:r>
              <w:rPr>
                <w:rFonts w:hint="eastAsia" w:eastAsia="等线"/>
                <w:highlight w:val="green"/>
                <w:lang w:val="en-US" w:eastAsia="zh-CN"/>
              </w:rPr>
              <w:t>Agreement</w:t>
            </w:r>
            <w:r>
              <w:rPr>
                <w:rFonts w:hint="eastAsia" w:eastAsia="等线"/>
                <w:highlight w:val="none"/>
                <w:lang w:val="en-US" w:eastAsia="zh-CN"/>
              </w:rPr>
              <w:t>(RAN1#120bis meeting)</w:t>
            </w:r>
          </w:p>
          <w:p w14:paraId="2F525827">
            <w:pPr>
              <w:keepNext w:val="0"/>
              <w:keepLines w:val="0"/>
              <w:pageBreakBefore w:val="0"/>
              <w:kinsoku/>
              <w:wordWrap/>
              <w:overflowPunct/>
              <w:topLinePunct w:val="0"/>
              <w:autoSpaceDE/>
              <w:autoSpaceDN/>
              <w:bidi w:val="0"/>
              <w:adjustRightInd/>
              <w:snapToGrid/>
              <w:textAlignment w:val="auto"/>
              <w:rPr>
                <w:rFonts w:hint="eastAsia" w:eastAsia="等线"/>
                <w:lang w:eastAsia="zh-CN"/>
              </w:rPr>
            </w:pPr>
            <w:r>
              <w:t>For Rel-19 low NR band carrier aggregation via switching, the semi-static switching pattern and corresponding switching gap are based on the downlink timing (DL reception time at UE side) of Pcell</w:t>
            </w:r>
            <w:r>
              <w:rPr>
                <w:rFonts w:hint="eastAsia" w:eastAsia="等线"/>
                <w:lang w:eastAsia="zh-CN"/>
              </w:rPr>
              <w:t>.</w:t>
            </w:r>
          </w:p>
          <w:p w14:paraId="30826BF1">
            <w:pPr>
              <w:keepNext w:val="0"/>
              <w:keepLines w:val="0"/>
              <w:pageBreakBefore w:val="0"/>
              <w:kinsoku/>
              <w:wordWrap/>
              <w:overflowPunct/>
              <w:topLinePunct w:val="0"/>
              <w:autoSpaceDE/>
              <w:autoSpaceDN/>
              <w:bidi w:val="0"/>
              <w:adjustRightInd/>
              <w:snapToGrid/>
              <w:textAlignment w:val="auto"/>
              <w:rPr>
                <w:rFonts w:hint="eastAsia" w:eastAsia="等线"/>
                <w:highlight w:val="green"/>
                <w:lang w:eastAsia="zh-CN"/>
              </w:rPr>
            </w:pPr>
            <w:r>
              <w:rPr>
                <w:rFonts w:hint="eastAsia" w:eastAsia="等线"/>
                <w:highlight w:val="green"/>
                <w:lang w:eastAsia="zh-CN"/>
              </w:rPr>
              <w:t>Agreement</w:t>
            </w:r>
            <w:r>
              <w:rPr>
                <w:rFonts w:hint="eastAsia" w:eastAsia="等线"/>
                <w:highlight w:val="none"/>
                <w:lang w:val="en-US" w:eastAsia="zh-CN"/>
              </w:rPr>
              <w:t>(RAN1#120bis meeting)</w:t>
            </w:r>
          </w:p>
          <w:p w14:paraId="7272459D">
            <w:pPr>
              <w:keepNext w:val="0"/>
              <w:keepLines w:val="0"/>
              <w:pageBreakBefore w:val="0"/>
              <w:kinsoku/>
              <w:wordWrap/>
              <w:overflowPunct/>
              <w:topLinePunct w:val="0"/>
              <w:autoSpaceDE/>
              <w:autoSpaceDN/>
              <w:bidi w:val="0"/>
              <w:adjustRightInd/>
              <w:snapToGrid/>
              <w:contextualSpacing/>
              <w:textAlignment w:val="auto"/>
              <w:rPr>
                <w:rFonts w:hint="eastAsia" w:eastAsia="宋体"/>
                <w:lang w:val="en-US" w:eastAsia="zh-CN"/>
              </w:rPr>
            </w:pPr>
            <w:r>
              <w:t>For RRC configuration of semi-static switching pattern in Rel-19 low NR band carrier aggregation via switching, semi-static switching pattern is periodic with periodicity of P slots (ms), support P= 40 ms</w:t>
            </w:r>
            <w:r>
              <w:rPr>
                <w:rFonts w:hint="eastAsia" w:eastAsia="宋体"/>
                <w:lang w:val="en-US" w:eastAsia="zh-CN"/>
              </w:rPr>
              <w:t>.</w:t>
            </w:r>
          </w:p>
          <w:p w14:paraId="234008A6">
            <w:pPr>
              <w:contextualSpacing/>
              <w:rPr>
                <w:rFonts w:hint="eastAsia" w:eastAsia="等线"/>
                <w:color w:val="000000"/>
                <w:highlight w:val="green"/>
                <w:lang w:eastAsia="zh-CN"/>
              </w:rPr>
            </w:pPr>
            <w:r>
              <w:rPr>
                <w:rFonts w:hint="eastAsia" w:eastAsia="等线"/>
                <w:color w:val="000000"/>
                <w:highlight w:val="green"/>
                <w:lang w:eastAsia="zh-CN"/>
              </w:rPr>
              <w:t>Agreement</w:t>
            </w:r>
            <w:r>
              <w:rPr>
                <w:rFonts w:hint="eastAsia" w:eastAsia="等线"/>
                <w:highlight w:val="none"/>
                <w:lang w:val="en-US" w:eastAsia="zh-CN"/>
              </w:rPr>
              <w:t>(RAN1#121 meeting)</w:t>
            </w:r>
          </w:p>
          <w:p w14:paraId="3CB1153A">
            <w:pPr>
              <w:contextualSpacing/>
              <w:rPr>
                <w:rFonts w:hint="default" w:eastAsia="宋体"/>
                <w:lang w:val="en-US" w:eastAsia="zh-CN"/>
              </w:rPr>
            </w:pPr>
            <w:r>
              <w:rPr>
                <w:color w:val="000000"/>
              </w:rPr>
              <w:t>For Rel-19 low NR band carrier aggregation via switching, support configuration of only one switching pattern to a UE based on UE-specific RRC configuration.</w:t>
            </w:r>
          </w:p>
        </w:tc>
      </w:tr>
    </w:tbl>
    <w:p w14:paraId="3EEDF880">
      <w:pPr>
        <w:pStyle w:val="2"/>
        <w:bidi w:val="0"/>
        <w:rPr>
          <w:rFonts w:hint="eastAsia"/>
          <w:lang w:val="en-US" w:eastAsia="zh-CN"/>
        </w:rPr>
      </w:pPr>
      <w:r>
        <w:rPr>
          <w:rFonts w:hint="eastAsia"/>
          <w:lang w:val="en-US" w:eastAsia="zh-CN"/>
        </w:rPr>
        <w:t>Besides the above exact solution of semi-static switching pattern configuration, RAN1 also discussed the collision handling in last RAN1 meeting and reached consensus on collision handling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CC5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14CDE36">
            <w:pPr>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(121 meeting)</w:t>
            </w:r>
          </w:p>
          <w:p w14:paraId="2B4926E3">
            <w:pPr>
              <w:pStyle w:val="69"/>
              <w:numPr>
                <w:ilvl w:val="0"/>
                <w:numId w:val="7"/>
              </w:numPr>
              <w:spacing w:line="240" w:lineRule="auto"/>
              <w:contextualSpacing/>
              <w:rPr>
                <w:rFonts w:cs="Times New Roman"/>
                <w:sz w:val="22"/>
                <w:szCs w:val="22"/>
              </w:rPr>
            </w:pPr>
            <w:r>
              <w:rPr>
                <w:rFonts w:cs="Times New Roman"/>
                <w:sz w:val="22"/>
                <w:szCs w:val="22"/>
              </w:rPr>
              <w:t xml:space="preserve">For Rel-19 low NR band carrier aggregation via switching, in terms of the collision handling </w:t>
            </w:r>
          </w:p>
          <w:p w14:paraId="1D2EC250">
            <w:pPr>
              <w:pStyle w:val="69"/>
              <w:numPr>
                <w:ilvl w:val="1"/>
                <w:numId w:val="7"/>
              </w:numPr>
              <w:spacing w:after="0" w:line="240" w:lineRule="auto"/>
              <w:contextualSpacing/>
              <w:rPr>
                <w:color w:val="000000"/>
                <w:sz w:val="22"/>
                <w:szCs w:val="22"/>
              </w:rPr>
            </w:pPr>
            <w:r>
              <w:rPr>
                <w:color w:val="000000"/>
                <w:sz w:val="22"/>
                <w:szCs w:val="22"/>
              </w:rPr>
              <w:t xml:space="preserve">The following cases for collision handling are specified </w:t>
            </w:r>
            <w:r>
              <w:rPr>
                <w:color w:val="000000"/>
                <w:sz w:val="22"/>
                <w:szCs w:val="22"/>
                <w:highlight w:val="none"/>
              </w:rPr>
              <w:t>where UL TA is assumed to be 0 for the determination of overlapping. The UL TA =0 assumption only applies to the UL transmission configured by higher layer</w:t>
            </w:r>
            <w:r>
              <w:rPr>
                <w:rFonts w:hint="eastAsia" w:eastAsia="宋体"/>
                <w:color w:val="000000"/>
                <w:sz w:val="22"/>
                <w:szCs w:val="22"/>
                <w:highlight w:val="none"/>
                <w:lang w:val="en-US" w:eastAsia="zh-CN"/>
              </w:rPr>
              <w:t xml:space="preserve"> </w:t>
            </w:r>
          </w:p>
          <w:p w14:paraId="672BD180">
            <w:pPr>
              <w:pStyle w:val="69"/>
              <w:numPr>
                <w:ilvl w:val="2"/>
                <w:numId w:val="7"/>
              </w:numPr>
              <w:spacing w:line="240" w:lineRule="auto"/>
              <w:contextualSpacing/>
              <w:rPr>
                <w:rFonts w:cs="Times New Roman"/>
                <w:sz w:val="22"/>
                <w:szCs w:val="22"/>
              </w:rPr>
            </w:pPr>
            <w:r>
              <w:rPr>
                <w:rFonts w:cs="Times New Roman"/>
                <w:color w:val="000000"/>
                <w:sz w:val="22"/>
                <w:szCs w:val="22"/>
              </w:rPr>
              <w:t xml:space="preserve">Collision 1: If a UE is configured by higher layers to transmit a PUSCH, PUCCH, </w:t>
            </w:r>
            <w:r>
              <w:rPr>
                <w:rFonts w:cs="Times New Roman"/>
                <w:sz w:val="22"/>
                <w:szCs w:val="22"/>
              </w:rPr>
              <w:t xml:space="preserve">PRACH, or SRS in a set of symbols of an </w:t>
            </w:r>
            <w:r>
              <w:rPr>
                <w:rFonts w:cs="Times New Roman"/>
                <w:sz w:val="22"/>
                <w:szCs w:val="22"/>
                <w:highlight w:val="yellow"/>
              </w:rPr>
              <w:t>UL slot</w:t>
            </w:r>
            <w:r>
              <w:rPr>
                <w:rFonts w:cs="Times New Roman"/>
                <w:sz w:val="22"/>
                <w:szCs w:val="22"/>
              </w:rPr>
              <w:t xml:space="preserve"> on the </w:t>
            </w:r>
            <w:r>
              <w:rPr>
                <w:rFonts w:cs="Times New Roman"/>
                <w:color w:val="C00000"/>
                <w:sz w:val="22"/>
                <w:szCs w:val="22"/>
              </w:rPr>
              <w:t>FDD carrier that overlaps</w:t>
            </w:r>
            <w:r>
              <w:rPr>
                <w:rFonts w:cs="Times New Roman"/>
                <w:sz w:val="22"/>
                <w:szCs w:val="22"/>
              </w:rPr>
              <w:t xml:space="preserve">, even partially, with the set of symbols of </w:t>
            </w:r>
            <w:r>
              <w:rPr>
                <w:rFonts w:cs="Times New Roman"/>
                <w:color w:val="C00000"/>
                <w:sz w:val="22"/>
                <w:szCs w:val="22"/>
              </w:rPr>
              <w:t>the switching gap</w:t>
            </w:r>
            <w:r>
              <w:rPr>
                <w:rFonts w:cs="Times New Roman"/>
                <w:sz w:val="22"/>
                <w:szCs w:val="22"/>
              </w:rPr>
              <w:t xml:space="preserve">, the UE does not transmit the PUSCH, PUCCH, PRACH, or SRS </w:t>
            </w:r>
          </w:p>
          <w:p w14:paraId="0985B376">
            <w:pPr>
              <w:pStyle w:val="69"/>
              <w:numPr>
                <w:ilvl w:val="2"/>
                <w:numId w:val="7"/>
              </w:numPr>
              <w:spacing w:line="240" w:lineRule="auto"/>
              <w:contextualSpacing/>
              <w:rPr>
                <w:rFonts w:cs="Times New Roman"/>
                <w:sz w:val="22"/>
                <w:szCs w:val="22"/>
              </w:rPr>
            </w:pPr>
            <w:r>
              <w:rPr>
                <w:rFonts w:cs="Times New Roman"/>
                <w:sz w:val="22"/>
                <w:szCs w:val="22"/>
              </w:rPr>
              <w:t xml:space="preserve">Collision 2: If a UE is configured by higher layers to transmit a PUSCH, PUCCH, PRACH, or SRS in a set of symbols of an </w:t>
            </w:r>
            <w:r>
              <w:rPr>
                <w:rFonts w:cs="Times New Roman"/>
                <w:sz w:val="22"/>
                <w:szCs w:val="22"/>
                <w:highlight w:val="yellow"/>
              </w:rPr>
              <w:t>UL slot</w:t>
            </w:r>
            <w:r>
              <w:rPr>
                <w:rFonts w:cs="Times New Roman"/>
                <w:sz w:val="22"/>
                <w:szCs w:val="22"/>
              </w:rPr>
              <w:t xml:space="preserve"> on the </w:t>
            </w:r>
            <w:r>
              <w:rPr>
                <w:rFonts w:cs="Times New Roman"/>
                <w:color w:val="C00000"/>
                <w:sz w:val="22"/>
                <w:szCs w:val="22"/>
              </w:rPr>
              <w:t>FDD carrier that overlaps</w:t>
            </w:r>
            <w:r>
              <w:rPr>
                <w:rFonts w:cs="Times New Roman"/>
                <w:sz w:val="22"/>
                <w:szCs w:val="22"/>
              </w:rPr>
              <w:t xml:space="preserve">, even partially, with the set of symbols of the DL slot indicated as </w:t>
            </w:r>
            <w:r>
              <w:rPr>
                <w:rFonts w:cs="Times New Roman"/>
                <w:color w:val="C00000"/>
                <w:sz w:val="22"/>
                <w:szCs w:val="22"/>
              </w:rPr>
              <w:t>SDL carrier</w:t>
            </w:r>
            <w:r>
              <w:rPr>
                <w:rFonts w:cs="Times New Roman"/>
                <w:sz w:val="22"/>
                <w:szCs w:val="22"/>
              </w:rPr>
              <w:t>, the UE does not transmit the PUSCH, PUCCH, PRACH, or SRS</w:t>
            </w:r>
          </w:p>
          <w:p w14:paraId="027F85DC">
            <w:pPr>
              <w:pStyle w:val="69"/>
              <w:numPr>
                <w:ilvl w:val="2"/>
                <w:numId w:val="7"/>
              </w:numPr>
              <w:spacing w:line="240" w:lineRule="auto"/>
              <w:contextualSpacing/>
              <w:rPr>
                <w:rFonts w:cs="Times New Roman"/>
                <w:sz w:val="22"/>
                <w:szCs w:val="22"/>
              </w:rPr>
            </w:pPr>
            <w:r>
              <w:rPr>
                <w:rFonts w:cs="Times New Roman"/>
                <w:sz w:val="22"/>
                <w:szCs w:val="22"/>
              </w:rPr>
              <w:t xml:space="preserve">Collision 3: If a UE is configured by higher layers to receive a PDCCH, PDSCH, PRS or CSI-RS in a set of symbols of a </w:t>
            </w:r>
            <w:r>
              <w:rPr>
                <w:rFonts w:cs="Times New Roman"/>
                <w:sz w:val="22"/>
                <w:szCs w:val="22"/>
                <w:highlight w:val="yellow"/>
              </w:rPr>
              <w:t>DL slot</w:t>
            </w:r>
            <w:r>
              <w:rPr>
                <w:rFonts w:cs="Times New Roman"/>
                <w:sz w:val="22"/>
                <w:szCs w:val="22"/>
              </w:rPr>
              <w:t xml:space="preserve"> on the </w:t>
            </w:r>
            <w:r>
              <w:rPr>
                <w:rFonts w:cs="Times New Roman"/>
                <w:color w:val="C00000"/>
                <w:sz w:val="22"/>
                <w:szCs w:val="22"/>
              </w:rPr>
              <w:t>SDL carrier that overlaps</w:t>
            </w:r>
            <w:r>
              <w:rPr>
                <w:rFonts w:cs="Times New Roman"/>
                <w:sz w:val="22"/>
                <w:szCs w:val="22"/>
              </w:rPr>
              <w:t xml:space="preserve">, even partially, with the set of symbols of </w:t>
            </w:r>
            <w:r>
              <w:rPr>
                <w:rFonts w:cs="Times New Roman"/>
                <w:color w:val="C00000"/>
                <w:sz w:val="22"/>
                <w:szCs w:val="22"/>
              </w:rPr>
              <w:t>the switching gap</w:t>
            </w:r>
            <w:r>
              <w:rPr>
                <w:rFonts w:cs="Times New Roman"/>
                <w:sz w:val="22"/>
                <w:szCs w:val="22"/>
              </w:rPr>
              <w:t>, the UE does not receive the PDCCH, PDSCH, PRS or CSI-RS.</w:t>
            </w:r>
          </w:p>
          <w:p w14:paraId="69FC8959">
            <w:pPr>
              <w:pStyle w:val="69"/>
              <w:numPr>
                <w:ilvl w:val="2"/>
                <w:numId w:val="7"/>
              </w:numPr>
              <w:spacing w:line="240" w:lineRule="auto"/>
              <w:contextualSpacing/>
              <w:rPr>
                <w:rFonts w:cs="Times New Roman"/>
                <w:sz w:val="22"/>
                <w:szCs w:val="22"/>
              </w:rPr>
            </w:pPr>
            <w:r>
              <w:rPr>
                <w:rFonts w:cs="Times New Roman"/>
                <w:sz w:val="22"/>
                <w:szCs w:val="22"/>
              </w:rPr>
              <w:t xml:space="preserve">Collision 4: If a UE is configured by higher layers to receive a PDCCH, PDSCH, PRS or CSI-RS in a set of symbols of a </w:t>
            </w:r>
            <w:r>
              <w:rPr>
                <w:rFonts w:cs="Times New Roman"/>
                <w:sz w:val="22"/>
                <w:szCs w:val="22"/>
                <w:highlight w:val="yellow"/>
              </w:rPr>
              <w:t>DL slot</w:t>
            </w:r>
            <w:r>
              <w:rPr>
                <w:rFonts w:cs="Times New Roman"/>
                <w:sz w:val="22"/>
                <w:szCs w:val="22"/>
              </w:rPr>
              <w:t xml:space="preserve"> on the </w:t>
            </w:r>
            <w:r>
              <w:rPr>
                <w:rFonts w:cs="Times New Roman"/>
                <w:color w:val="C00000"/>
                <w:sz w:val="22"/>
                <w:szCs w:val="22"/>
              </w:rPr>
              <w:t>SDL carrier that overlaps</w:t>
            </w:r>
            <w:r>
              <w:rPr>
                <w:rFonts w:cs="Times New Roman"/>
                <w:sz w:val="22"/>
                <w:szCs w:val="22"/>
              </w:rPr>
              <w:t xml:space="preserve">, even partially, with the set of symbols of the DL slot indicated as </w:t>
            </w:r>
            <w:r>
              <w:rPr>
                <w:rFonts w:cs="Times New Roman"/>
                <w:color w:val="C00000"/>
                <w:sz w:val="22"/>
                <w:szCs w:val="22"/>
              </w:rPr>
              <w:t>FDD carrier</w:t>
            </w:r>
            <w:r>
              <w:rPr>
                <w:rFonts w:cs="Times New Roman"/>
                <w:sz w:val="22"/>
                <w:szCs w:val="22"/>
              </w:rPr>
              <w:t>, the UE does not receive the PDCCH, PDSCH, PRS or CSI-RS</w:t>
            </w:r>
          </w:p>
          <w:p w14:paraId="590E31E9">
            <w:pPr>
              <w:pStyle w:val="69"/>
              <w:numPr>
                <w:ilvl w:val="2"/>
                <w:numId w:val="7"/>
              </w:numPr>
              <w:spacing w:line="240" w:lineRule="auto"/>
              <w:contextualSpacing/>
              <w:rPr>
                <w:rFonts w:cs="Times New Roman"/>
                <w:sz w:val="22"/>
                <w:szCs w:val="22"/>
              </w:rPr>
            </w:pPr>
            <w:r>
              <w:rPr>
                <w:rFonts w:cs="Times New Roman"/>
                <w:sz w:val="22"/>
                <w:szCs w:val="22"/>
              </w:rPr>
              <w:t xml:space="preserve">Collision 5: If a UE is configured by higher layers to receive a PDCCH, PDSCH, PRS or CSI-RS in a set of symbols of a </w:t>
            </w:r>
            <w:r>
              <w:rPr>
                <w:rFonts w:cs="Times New Roman"/>
                <w:sz w:val="22"/>
                <w:szCs w:val="22"/>
                <w:highlight w:val="yellow"/>
              </w:rPr>
              <w:t>DL slot</w:t>
            </w:r>
            <w:r>
              <w:rPr>
                <w:rFonts w:cs="Times New Roman"/>
                <w:sz w:val="22"/>
                <w:szCs w:val="22"/>
              </w:rPr>
              <w:t xml:space="preserve"> on the </w:t>
            </w:r>
            <w:r>
              <w:rPr>
                <w:rFonts w:cs="Times New Roman"/>
                <w:color w:val="C00000"/>
                <w:sz w:val="22"/>
                <w:szCs w:val="22"/>
              </w:rPr>
              <w:t>FDD carrier that overlaps</w:t>
            </w:r>
            <w:r>
              <w:rPr>
                <w:rFonts w:cs="Times New Roman"/>
                <w:sz w:val="22"/>
                <w:szCs w:val="22"/>
              </w:rPr>
              <w:t xml:space="preserve">, even partially, with the set of symbols of </w:t>
            </w:r>
            <w:r>
              <w:rPr>
                <w:rFonts w:cs="Times New Roman"/>
                <w:color w:val="C00000"/>
                <w:sz w:val="22"/>
                <w:szCs w:val="22"/>
              </w:rPr>
              <w:t>the switching gap</w:t>
            </w:r>
            <w:r>
              <w:rPr>
                <w:rFonts w:cs="Times New Roman"/>
                <w:sz w:val="22"/>
                <w:szCs w:val="22"/>
              </w:rPr>
              <w:t>, the UE does not receive the PDCCH, PDSCH, PRS or CSI-RS.</w:t>
            </w:r>
          </w:p>
          <w:p w14:paraId="0D0BB146">
            <w:pPr>
              <w:pStyle w:val="69"/>
              <w:numPr>
                <w:ilvl w:val="2"/>
                <w:numId w:val="7"/>
              </w:numPr>
              <w:spacing w:line="240" w:lineRule="auto"/>
              <w:contextualSpacing/>
              <w:rPr>
                <w:rFonts w:cs="Times New Roman"/>
                <w:sz w:val="22"/>
                <w:szCs w:val="22"/>
              </w:rPr>
            </w:pPr>
            <w:r>
              <w:rPr>
                <w:rFonts w:cs="Times New Roman"/>
                <w:sz w:val="22"/>
                <w:szCs w:val="22"/>
              </w:rPr>
              <w:t xml:space="preserve">Collision 6: If a UE is configured by higher layers to receive a PDCCH, PDSCH, PRS or CSI-RS in a set of symbols of a </w:t>
            </w:r>
            <w:r>
              <w:rPr>
                <w:rFonts w:cs="Times New Roman"/>
                <w:sz w:val="22"/>
                <w:szCs w:val="22"/>
                <w:highlight w:val="yellow"/>
              </w:rPr>
              <w:t>DL slot</w:t>
            </w:r>
            <w:r>
              <w:rPr>
                <w:rFonts w:cs="Times New Roman"/>
                <w:sz w:val="22"/>
                <w:szCs w:val="22"/>
              </w:rPr>
              <w:t xml:space="preserve"> on the </w:t>
            </w:r>
            <w:r>
              <w:rPr>
                <w:rFonts w:cs="Times New Roman"/>
                <w:color w:val="C00000"/>
                <w:sz w:val="22"/>
                <w:szCs w:val="22"/>
              </w:rPr>
              <w:t>FDD carrier that overlaps</w:t>
            </w:r>
            <w:r>
              <w:rPr>
                <w:rFonts w:cs="Times New Roman"/>
                <w:sz w:val="22"/>
                <w:szCs w:val="22"/>
              </w:rPr>
              <w:t xml:space="preserve">, even partially, with the set of symbols of the DL slot indicated as </w:t>
            </w:r>
            <w:r>
              <w:rPr>
                <w:rFonts w:cs="Times New Roman"/>
                <w:color w:val="C00000"/>
                <w:sz w:val="22"/>
                <w:szCs w:val="22"/>
              </w:rPr>
              <w:t>SDL carrier</w:t>
            </w:r>
            <w:r>
              <w:rPr>
                <w:rFonts w:cs="Times New Roman"/>
                <w:sz w:val="22"/>
                <w:szCs w:val="22"/>
              </w:rPr>
              <w:t>, the UE does not receive the PDCCH, PDSCH, PRS or CSI-RS</w:t>
            </w:r>
          </w:p>
          <w:p w14:paraId="45617EEA">
            <w:pPr>
              <w:pStyle w:val="69"/>
              <w:numPr>
                <w:ilvl w:val="1"/>
                <w:numId w:val="7"/>
              </w:numPr>
              <w:spacing w:line="240" w:lineRule="auto"/>
              <w:contextualSpacing/>
              <w:rPr>
                <w:rFonts w:cs="Times New Roman"/>
                <w:sz w:val="22"/>
                <w:szCs w:val="22"/>
              </w:rPr>
            </w:pPr>
            <w:r>
              <w:rPr>
                <w:rFonts w:cs="Times New Roman"/>
                <w:sz w:val="22"/>
                <w:szCs w:val="22"/>
              </w:rPr>
              <w:t xml:space="preserve">For the other cases, i.e., DL and UL </w:t>
            </w:r>
            <w:r>
              <w:rPr>
                <w:sz w:val="22"/>
                <w:szCs w:val="22"/>
              </w:rPr>
              <w:t xml:space="preserve">signals/channels scheduled/triggered by DCI </w:t>
            </w:r>
          </w:p>
          <w:p w14:paraId="025C8C31">
            <w:pPr>
              <w:pStyle w:val="69"/>
              <w:numPr>
                <w:ilvl w:val="2"/>
                <w:numId w:val="7"/>
              </w:numPr>
              <w:spacing w:line="240" w:lineRule="auto"/>
              <w:contextualSpacing/>
              <w:rPr>
                <w:rFonts w:cs="Times New Roman"/>
                <w:sz w:val="22"/>
                <w:szCs w:val="22"/>
              </w:rPr>
            </w:pPr>
            <w:r>
              <w:rPr>
                <w:rFonts w:hint="eastAsia" w:eastAsia="等线" w:cs="Times New Roman"/>
                <w:sz w:val="22"/>
                <w:szCs w:val="22"/>
                <w:lang w:val="en-GB" w:eastAsia="zh-CN"/>
              </w:rPr>
              <w:t>A</w:t>
            </w:r>
            <w:r>
              <w:rPr>
                <w:rFonts w:cs="Times New Roman"/>
                <w:sz w:val="22"/>
                <w:szCs w:val="22"/>
                <w:lang w:val="en-GB"/>
              </w:rPr>
              <w:t xml:space="preserve"> UE is not expected </w:t>
            </w:r>
            <w:r>
              <w:rPr>
                <w:rFonts w:hint="eastAsia" w:eastAsia="等线" w:cs="Times New Roman"/>
                <w:sz w:val="22"/>
                <w:szCs w:val="22"/>
                <w:lang w:val="en-GB" w:eastAsia="zh-CN"/>
              </w:rPr>
              <w:t xml:space="preserve">any </w:t>
            </w:r>
            <w:r>
              <w:rPr>
                <w:rFonts w:cs="Times New Roman"/>
                <w:sz w:val="22"/>
                <w:szCs w:val="22"/>
                <w:lang w:val="en-GB"/>
              </w:rPr>
              <w:t>schedul</w:t>
            </w:r>
            <w:r>
              <w:rPr>
                <w:rFonts w:hint="eastAsia" w:eastAsia="等线" w:cs="Times New Roman"/>
                <w:sz w:val="22"/>
                <w:szCs w:val="22"/>
                <w:lang w:val="en-GB" w:eastAsia="zh-CN"/>
              </w:rPr>
              <w:t>ing</w:t>
            </w:r>
            <w:r>
              <w:rPr>
                <w:rFonts w:cs="Times New Roman"/>
                <w:sz w:val="22"/>
                <w:szCs w:val="22"/>
                <w:lang w:val="en-GB"/>
              </w:rPr>
              <w:t>/trigge</w:t>
            </w:r>
            <w:r>
              <w:rPr>
                <w:rFonts w:hint="eastAsia" w:eastAsia="等线" w:cs="Times New Roman"/>
                <w:sz w:val="22"/>
                <w:szCs w:val="22"/>
                <w:lang w:val="en-GB" w:eastAsia="zh-CN"/>
              </w:rPr>
              <w:t>ring</w:t>
            </w:r>
            <w:r>
              <w:rPr>
                <w:rFonts w:cs="Times New Roman"/>
                <w:sz w:val="22"/>
                <w:szCs w:val="22"/>
                <w:lang w:val="en-GB"/>
              </w:rPr>
              <w:t xml:space="preserve"> </w:t>
            </w:r>
            <w:r>
              <w:rPr>
                <w:rFonts w:hint="eastAsia" w:eastAsia="等线" w:cs="Times New Roman"/>
                <w:sz w:val="22"/>
                <w:szCs w:val="22"/>
                <w:lang w:val="en-GB" w:eastAsia="zh-CN"/>
              </w:rPr>
              <w:t>from</w:t>
            </w:r>
            <w:r>
              <w:rPr>
                <w:rFonts w:cs="Times New Roman"/>
                <w:sz w:val="22"/>
                <w:szCs w:val="22"/>
                <w:lang w:val="en-GB"/>
              </w:rPr>
              <w:t xml:space="preserve"> network</w:t>
            </w:r>
            <w:r>
              <w:rPr>
                <w:rFonts w:hint="eastAsia" w:eastAsia="等线" w:cs="Times New Roman"/>
                <w:sz w:val="22"/>
                <w:szCs w:val="22"/>
                <w:lang w:val="en-GB" w:eastAsia="zh-CN"/>
              </w:rPr>
              <w:t xml:space="preserve"> that will lead to above collisions</w:t>
            </w:r>
          </w:p>
          <w:p w14:paraId="62AC4A7B">
            <w:pPr>
              <w:pStyle w:val="69"/>
              <w:numPr>
                <w:ilvl w:val="3"/>
                <w:numId w:val="7"/>
              </w:numPr>
              <w:spacing w:line="240" w:lineRule="auto"/>
              <w:contextualSpacing/>
              <w:rPr>
                <w:rFonts w:cs="Times New Roman"/>
                <w:sz w:val="22"/>
                <w:szCs w:val="22"/>
              </w:rPr>
            </w:pPr>
            <w:r>
              <w:rPr>
                <w:sz w:val="22"/>
                <w:szCs w:val="22"/>
              </w:rPr>
              <w:t xml:space="preserve">Except that the </w:t>
            </w:r>
            <w:r>
              <w:rPr>
                <w:rFonts w:cs="Times New Roman"/>
                <w:sz w:val="22"/>
                <w:szCs w:val="22"/>
              </w:rPr>
              <w:t xml:space="preserve">PUSCH, PUCCH, PRACH, or SRS transmission that </w:t>
            </w:r>
            <w:r>
              <w:rPr>
                <w:rFonts w:hint="eastAsia" w:eastAsia="等线" w:cs="Times New Roman"/>
                <w:sz w:val="22"/>
                <w:szCs w:val="22"/>
                <w:lang w:eastAsia="zh-CN"/>
              </w:rPr>
              <w:t>overlapped</w:t>
            </w:r>
            <w:r>
              <w:rPr>
                <w:rFonts w:cs="Times New Roman"/>
                <w:sz w:val="22"/>
                <w:szCs w:val="22"/>
              </w:rPr>
              <w:t xml:space="preserve"> with the switching gap on SDL carrier when the SDL carrier switches to FDD carrier is not considered as collision</w:t>
            </w:r>
            <w:r>
              <w:rPr>
                <w:rFonts w:hint="eastAsia" w:cs="Times New Roman"/>
                <w:sz w:val="22"/>
                <w:szCs w:val="22"/>
                <w:lang w:val="en-US" w:eastAsia="zh-CN"/>
              </w:rPr>
              <w:t xml:space="preserve"> </w:t>
            </w:r>
          </w:p>
          <w:p w14:paraId="7752494D">
            <w:pPr>
              <w:pStyle w:val="69"/>
              <w:numPr>
                <w:ilvl w:val="0"/>
                <w:numId w:val="7"/>
              </w:numPr>
              <w:spacing w:line="240" w:lineRule="auto"/>
              <w:contextualSpacing/>
              <w:rPr>
                <w:rFonts w:hint="default"/>
                <w:vertAlign w:val="baseline"/>
                <w:lang w:val="en-US" w:eastAsia="zh-CN"/>
              </w:rPr>
            </w:pPr>
            <w:r>
              <w:rPr>
                <w:sz w:val="22"/>
                <w:szCs w:val="22"/>
              </w:rPr>
              <w:t>UE expects that the switching gap configured by the NW for SDL carrier to FDD carrier switching covers at least the switching period as in RAN4 LS (R1-2501702) and UL TA</w:t>
            </w:r>
          </w:p>
        </w:tc>
      </w:tr>
    </w:tbl>
    <w:p w14:paraId="7F32172F">
      <w:pPr>
        <w:pStyle w:val="2"/>
        <w:bidi w:val="0"/>
        <w:rPr>
          <w:rFonts w:hint="eastAsia"/>
          <w:lang w:val="en-US" w:eastAsia="zh-CN"/>
        </w:rPr>
      </w:pPr>
      <w:r>
        <w:rPr>
          <w:rFonts w:hint="eastAsia"/>
          <w:lang w:val="en-US" w:eastAsia="zh-CN"/>
        </w:rPr>
        <w:t>Check the above RAN1 consensus internally with our RAN1 colleagues, actually these bullets can be classified into two types:</w:t>
      </w:r>
    </w:p>
    <w:p w14:paraId="5814C240">
      <w:pPr>
        <w:pStyle w:val="2"/>
        <w:bidi w:val="0"/>
        <w:ind w:leftChars="100"/>
        <w:rPr>
          <w:rFonts w:hint="default"/>
          <w:lang w:val="en-US" w:eastAsia="zh-CN"/>
        </w:rPr>
      </w:pPr>
      <w:r>
        <w:rPr>
          <w:rFonts w:hint="eastAsia"/>
          <w:lang w:val="en-US" w:eastAsia="zh-CN"/>
        </w:rPr>
        <w:t>- Type 1: The collisions between the switching pattern and semi-static DL/UL signals</w:t>
      </w:r>
    </w:p>
    <w:p w14:paraId="7BE50DE0">
      <w:pPr>
        <w:pStyle w:val="2"/>
        <w:bidi w:val="0"/>
        <w:ind w:leftChars="100"/>
        <w:rPr>
          <w:rFonts w:hint="default"/>
          <w:lang w:val="en-US" w:eastAsia="zh-CN"/>
        </w:rPr>
      </w:pPr>
      <w:r>
        <w:rPr>
          <w:rFonts w:hint="eastAsia"/>
          <w:lang w:val="en-US" w:eastAsia="zh-CN"/>
        </w:rPr>
        <w:t>- Type 2: The collisions between the switching pattern and dynamic scheduled DL/UL signals</w:t>
      </w:r>
    </w:p>
    <w:p w14:paraId="4E9AA9E5">
      <w:pPr>
        <w:pStyle w:val="2"/>
        <w:bidi w:val="0"/>
        <w:rPr>
          <w:rFonts w:hint="default"/>
          <w:lang w:val="en-US" w:eastAsia="zh-CN"/>
        </w:rPr>
      </w:pPr>
      <w:r>
        <w:rPr>
          <w:rFonts w:hint="eastAsia"/>
          <w:lang w:val="en-US" w:eastAsia="zh-CN"/>
        </w:rPr>
        <w:t>For Type 1, the guidance in RAN1 is that all these collisions are allowed and the collision handling is the switching pattern prioritizes over the semi-static DL/UL signals. It should be highly noted that the SSB is NOT mentioned by any bullet of Type 1, just similar as what happened in the collision handling involving R15 TDD pattern configuration and the semi-static DL/UL signals in legacy, i.e. the SSB configuration is the most highly prioritized, the collision between TDD pattern configuration and the SSB configuration would not happen. Here our understanding is that RAN1 has a basic assumption that the collision between the switching pattern and the SSB configuration would not happen.</w:t>
      </w:r>
    </w:p>
    <w:p w14:paraId="7EA0BEC8">
      <w:pPr>
        <w:pStyle w:val="2"/>
        <w:bidi w:val="0"/>
        <w:rPr>
          <w:rFonts w:hint="eastAsia"/>
          <w:lang w:val="en-US" w:eastAsia="zh-CN"/>
        </w:rPr>
      </w:pPr>
      <w:r>
        <w:rPr>
          <w:rFonts w:hint="eastAsia"/>
          <w:lang w:val="en-US" w:eastAsia="zh-CN"/>
        </w:rPr>
        <w:t xml:space="preserve">For Type 2, only one exception that the dynamic scheduled/triggered PUSCH, PUCCH, PRACH, or SRS transmission that overlapped with the switching gap on SDL carrier is allowed to happen, other collision cases are not expected to happen. </w:t>
      </w:r>
    </w:p>
    <w:p w14:paraId="49010DF5">
      <w:pPr>
        <w:pStyle w:val="2"/>
        <w:bidi w:val="0"/>
        <w:rPr>
          <w:rFonts w:hint="eastAsia"/>
          <w:b/>
          <w:bCs/>
          <w:lang w:val="en-US" w:eastAsia="zh-CN"/>
        </w:rPr>
      </w:pPr>
      <w:r>
        <w:rPr>
          <w:rFonts w:hint="eastAsia"/>
          <w:b/>
          <w:bCs/>
          <w:lang w:val="en-US" w:eastAsia="zh-CN"/>
        </w:rPr>
        <w:t>Observation 1: The collision handling has already approved in RAN1 and whole handling could be classified into two types:</w:t>
      </w:r>
    </w:p>
    <w:p w14:paraId="5B958C0F">
      <w:pPr>
        <w:pStyle w:val="2"/>
        <w:bidi w:val="0"/>
        <w:ind w:firstLine="201" w:firstLineChars="100"/>
        <w:rPr>
          <w:rFonts w:hint="default"/>
          <w:b/>
          <w:bCs/>
          <w:lang w:val="en-US" w:eastAsia="zh-CN"/>
        </w:rPr>
      </w:pPr>
      <w:r>
        <w:rPr>
          <w:rFonts w:hint="eastAsia"/>
          <w:b/>
          <w:bCs/>
          <w:lang w:val="en-US" w:eastAsia="zh-CN"/>
        </w:rPr>
        <w:t>- Type 1: The collisions between the switching pattern and semi-static DL/UL signals</w:t>
      </w:r>
    </w:p>
    <w:p w14:paraId="590E78A5">
      <w:pPr>
        <w:pStyle w:val="2"/>
        <w:bidi w:val="0"/>
        <w:ind w:firstLine="201" w:firstLineChars="100"/>
        <w:rPr>
          <w:rFonts w:hint="eastAsia"/>
          <w:b/>
          <w:bCs/>
          <w:lang w:val="en-US" w:eastAsia="zh-CN"/>
        </w:rPr>
      </w:pPr>
      <w:r>
        <w:rPr>
          <w:rFonts w:hint="eastAsia"/>
          <w:b/>
          <w:bCs/>
          <w:lang w:val="en-US" w:eastAsia="zh-CN"/>
        </w:rPr>
        <w:t>- Type 2: The collisions between the switching pattern and dynamic scheduled DL/UL signals</w:t>
      </w:r>
    </w:p>
    <w:p w14:paraId="312634BF">
      <w:pPr>
        <w:pStyle w:val="2"/>
        <w:bidi w:val="0"/>
        <w:rPr>
          <w:rFonts w:hint="default"/>
          <w:b/>
          <w:bCs/>
          <w:lang w:val="en-US" w:eastAsia="zh-CN"/>
        </w:rPr>
      </w:pPr>
      <w:r>
        <w:rPr>
          <w:rFonts w:hint="eastAsia"/>
          <w:b/>
          <w:bCs/>
          <w:lang w:val="en-US" w:eastAsia="zh-CN"/>
        </w:rPr>
        <w:t xml:space="preserve">Observation 2: For Type 1, the collision between SSB configuration and switching pattern is not mentioned by RAN1. The probable reason behind is to assume similar strategy as what happened between the SSB configuration and TDD pattern in legacy R15/16, i.e. the SSB configuration is assumed not conflicting with </w:t>
      </w:r>
      <w:r>
        <w:rPr>
          <w:rFonts w:hint="default"/>
          <w:b/>
          <w:bCs/>
          <w:lang w:val="en-US" w:eastAsia="zh-CN"/>
        </w:rPr>
        <w:t>‘</w:t>
      </w:r>
      <w:r>
        <w:rPr>
          <w:rFonts w:hint="eastAsia"/>
          <w:b/>
          <w:bCs/>
          <w:lang w:val="en-US" w:eastAsia="zh-CN"/>
        </w:rPr>
        <w:t>U</w:t>
      </w:r>
      <w:r>
        <w:rPr>
          <w:rFonts w:hint="default"/>
          <w:b/>
          <w:bCs/>
          <w:lang w:val="en-US" w:eastAsia="zh-CN"/>
        </w:rPr>
        <w:t>’</w:t>
      </w:r>
      <w:r>
        <w:rPr>
          <w:rFonts w:hint="eastAsia"/>
          <w:b/>
          <w:bCs/>
          <w:lang w:val="en-US" w:eastAsia="zh-CN"/>
        </w:rPr>
        <w:t xml:space="preserve"> in TDD pattern, which implies the SSB configuration would not conflict with the switching pattern in LB CA.</w:t>
      </w:r>
    </w:p>
    <w:p w14:paraId="2BE7E3FB">
      <w:pPr>
        <w:pStyle w:val="2"/>
        <w:bidi w:val="0"/>
        <w:rPr>
          <w:rFonts w:hint="default"/>
          <w:lang w:val="en-US" w:eastAsia="zh-CN"/>
        </w:rPr>
      </w:pPr>
      <w:r>
        <w:rPr>
          <w:rFonts w:hint="eastAsia"/>
          <w:lang w:val="en-US" w:eastAsia="zh-CN"/>
        </w:rPr>
        <w:t>Besides the observations regarding RAN1 progress, from RAN4 perspective, if we look at the current allowed configuration for switching pattern and the typical SMTC configuration for PCell/SCell. RAN1 only supports the periodicity of switching pattern as P = 40ms. The typical configuration of SMTC is {40ms, 80ms, 160ms} since the effective lower bound of SSB measurement is 40ms implied in the requirements of measurement period. So one SMTC contains one or multiple complete switching pattern periodicity. As a result, take the SMTC on SCC for instance, which cell</w:t>
      </w:r>
      <w:r>
        <w:rPr>
          <w:rFonts w:hint="default"/>
          <w:lang w:val="en-US" w:eastAsia="zh-CN"/>
        </w:rPr>
        <w:t>’</w:t>
      </w:r>
      <w:r>
        <w:rPr>
          <w:rFonts w:hint="eastAsia"/>
          <w:lang w:val="en-US" w:eastAsia="zh-CN"/>
        </w:rPr>
        <w:t>s ON duration would collide with the SMTC occasion for PCC, it is always consistent for each SMTC occasion, as shown in Figure 1 and 2, no matter the SMTC is configured as 40ms or 80ms, all SCell SSB occasions could be measurable in Figure 1 and none of them is measurable in Figure 2. Only when the SMTC is configured as 20ms, i.e. shorter than the periodicity of switching patter P=40, the case of partial collision would happen.</w:t>
      </w:r>
    </w:p>
    <w:p w14:paraId="5E857DF1">
      <w:pPr>
        <w:pStyle w:val="2"/>
        <w:bidi w:val="0"/>
        <w:jc w:val="center"/>
      </w:pPr>
      <w:r>
        <w:drawing>
          <wp:inline distT="0" distB="0" distL="114300" distR="114300">
            <wp:extent cx="4324985" cy="1357630"/>
            <wp:effectExtent l="0" t="0" r="18415" b="1397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6"/>
                    <a:stretch>
                      <a:fillRect/>
                    </a:stretch>
                  </pic:blipFill>
                  <pic:spPr>
                    <a:xfrm>
                      <a:off x="0" y="0"/>
                      <a:ext cx="4324985" cy="1357630"/>
                    </a:xfrm>
                    <a:prstGeom prst="rect">
                      <a:avLst/>
                    </a:prstGeom>
                    <a:noFill/>
                    <a:ln>
                      <a:noFill/>
                    </a:ln>
                  </pic:spPr>
                </pic:pic>
              </a:graphicData>
            </a:graphic>
          </wp:inline>
        </w:drawing>
      </w:r>
    </w:p>
    <w:p w14:paraId="786047C6">
      <w:pPr>
        <w:pStyle w:val="2"/>
        <w:bidi w:val="0"/>
        <w:jc w:val="center"/>
        <w:rPr>
          <w:rFonts w:hint="default" w:eastAsia="宋体"/>
          <w:lang w:val="en-US" w:eastAsia="zh-CN"/>
        </w:rPr>
      </w:pPr>
      <w:r>
        <w:rPr>
          <w:rFonts w:hint="eastAsia" w:eastAsia="宋体"/>
          <w:lang w:val="en-US" w:eastAsia="zh-CN"/>
        </w:rPr>
        <w:t>Figure 1. SCell SSB could be measured in SCell ON duration</w:t>
      </w:r>
    </w:p>
    <w:p w14:paraId="46B61DDB">
      <w:pPr>
        <w:pStyle w:val="2"/>
        <w:bidi w:val="0"/>
        <w:jc w:val="center"/>
        <w:rPr>
          <w:rFonts w:hint="default" w:eastAsia="宋体"/>
          <w:lang w:val="en-US" w:eastAsia="zh-CN"/>
        </w:rPr>
      </w:pPr>
      <w:r>
        <w:drawing>
          <wp:inline distT="0" distB="0" distL="114300" distR="114300">
            <wp:extent cx="4380865" cy="1375410"/>
            <wp:effectExtent l="0" t="0" r="635" b="1524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7"/>
                    <a:stretch>
                      <a:fillRect/>
                    </a:stretch>
                  </pic:blipFill>
                  <pic:spPr>
                    <a:xfrm>
                      <a:off x="0" y="0"/>
                      <a:ext cx="4380865" cy="1375410"/>
                    </a:xfrm>
                    <a:prstGeom prst="rect">
                      <a:avLst/>
                    </a:prstGeom>
                    <a:noFill/>
                    <a:ln>
                      <a:noFill/>
                    </a:ln>
                  </pic:spPr>
                </pic:pic>
              </a:graphicData>
            </a:graphic>
          </wp:inline>
        </w:drawing>
      </w:r>
    </w:p>
    <w:p w14:paraId="36DE59C8">
      <w:pPr>
        <w:pStyle w:val="2"/>
        <w:bidi w:val="0"/>
        <w:jc w:val="center"/>
        <w:rPr>
          <w:rFonts w:hint="default" w:eastAsia="宋体"/>
          <w:lang w:val="en-US" w:eastAsia="zh-CN"/>
        </w:rPr>
      </w:pPr>
      <w:r>
        <w:rPr>
          <w:rFonts w:hint="eastAsia" w:eastAsia="宋体"/>
          <w:lang w:val="en-US" w:eastAsia="zh-CN"/>
        </w:rPr>
        <w:t>Figure 2. SCell SSB could not be measured in PCell ON duration</w:t>
      </w:r>
    </w:p>
    <w:p w14:paraId="6A9B57C0">
      <w:pPr>
        <w:pStyle w:val="2"/>
        <w:bidi w:val="0"/>
        <w:rPr>
          <w:rFonts w:hint="eastAsia"/>
          <w:b/>
          <w:bCs/>
          <w:lang w:val="en-US" w:eastAsia="zh-CN"/>
        </w:rPr>
      </w:pPr>
      <w:r>
        <w:rPr>
          <w:rFonts w:hint="eastAsia"/>
          <w:b/>
          <w:bCs/>
          <w:lang w:val="en-US" w:eastAsia="zh-CN"/>
        </w:rPr>
        <w:t xml:space="preserve">Observation 3: Both the switching pattern configuration and SSB/SMTC configuration start from SFN 0. Considering the only allowed periodicity of switching pattern is p=40ms, </w:t>
      </w:r>
    </w:p>
    <w:p w14:paraId="1E4EFE9C">
      <w:pPr>
        <w:pStyle w:val="2"/>
        <w:bidi w:val="0"/>
        <w:ind w:leftChars="100"/>
        <w:rPr>
          <w:rFonts w:hint="eastAsia"/>
          <w:b/>
          <w:bCs/>
          <w:lang w:val="en-US" w:eastAsia="zh-CN"/>
        </w:rPr>
      </w:pPr>
      <w:r>
        <w:rPr>
          <w:rFonts w:hint="eastAsia"/>
          <w:b/>
          <w:bCs/>
          <w:lang w:val="en-US" w:eastAsia="zh-CN"/>
        </w:rPr>
        <w:t>- for the typical periodicity configuration of SMTC {40ms, 80ms, 160ms}, take SCC as instance, either all SCC SMTC occasions are available or none of them is available, the case of part of SCC SMTC occasions are available would not happen.</w:t>
      </w:r>
    </w:p>
    <w:p w14:paraId="013D6EDB">
      <w:pPr>
        <w:pStyle w:val="2"/>
        <w:bidi w:val="0"/>
        <w:ind w:leftChars="100"/>
        <w:rPr>
          <w:rFonts w:hint="default"/>
          <w:b/>
          <w:bCs/>
          <w:lang w:val="en-US" w:eastAsia="zh-CN"/>
        </w:rPr>
      </w:pPr>
      <w:r>
        <w:rPr>
          <w:rFonts w:hint="eastAsia"/>
          <w:b/>
          <w:bCs/>
          <w:lang w:val="en-US" w:eastAsia="zh-CN"/>
        </w:rPr>
        <w:t>- Only for the case of SMTC periodicity configured as 20ms, still take SCC as instance, the case of part of SCC SMTC occasions are available would happen. The extension solution only works under this case.</w:t>
      </w:r>
    </w:p>
    <w:p w14:paraId="1253C704">
      <w:pPr>
        <w:pStyle w:val="2"/>
        <w:bidi w:val="0"/>
        <w:rPr>
          <w:rFonts w:hint="eastAsia"/>
          <w:lang w:val="en-US" w:eastAsia="zh-CN"/>
        </w:rPr>
      </w:pPr>
      <w:r>
        <w:rPr>
          <w:rFonts w:hint="eastAsia"/>
          <w:lang w:val="en-US" w:eastAsia="zh-CN"/>
        </w:rPr>
        <w:t>Based on our above observations and current RAN1 progress, it would be more helpful to ask for RAN1 to provide some clarification on whether the collision between SSB and switching pattern is allowed. If yes, RAN4 could develop the extension solution to handle the partial collision case and based on our observation, such partial collision case would only happen when the SMTC periodicity is configured as 20ms. If no, actually RAN4 does not need to design the extension solution for SSB based measurement.</w:t>
      </w:r>
    </w:p>
    <w:p w14:paraId="3B975D53">
      <w:pPr>
        <w:pStyle w:val="2"/>
        <w:bidi w:val="0"/>
        <w:rPr>
          <w:rFonts w:hint="default"/>
          <w:lang w:val="en-US" w:eastAsia="zh-CN"/>
        </w:rPr>
      </w:pPr>
      <w:r>
        <w:rPr>
          <w:rFonts w:hint="eastAsia"/>
          <w:lang w:val="en-US" w:eastAsia="zh-CN"/>
        </w:rPr>
        <w:t xml:space="preserve">However considering RAN1 has already close this R19 WID until last RAN1 meeting, to move forward, we are fine to compromise to introduce the extension solution to address the partial collision case. </w:t>
      </w:r>
    </w:p>
    <w:p w14:paraId="32974746">
      <w:pPr>
        <w:pStyle w:val="2"/>
        <w:bidi w:val="0"/>
        <w:rPr>
          <w:rFonts w:hint="default"/>
          <w:b/>
          <w:bCs/>
          <w:lang w:val="en-US" w:eastAsia="zh-CN"/>
        </w:rPr>
      </w:pPr>
      <w:r>
        <w:rPr>
          <w:rFonts w:hint="eastAsia"/>
          <w:b/>
          <w:bCs/>
          <w:lang w:val="en-US" w:eastAsia="zh-CN"/>
        </w:rPr>
        <w:t>Proposal 1: Based on above observations, we suggest two options as below and which option to follow, up to RAN4 discussion.</w:t>
      </w:r>
    </w:p>
    <w:p w14:paraId="35B5202F">
      <w:pPr>
        <w:pStyle w:val="2"/>
        <w:bidi w:val="0"/>
        <w:ind w:leftChars="100"/>
        <w:rPr>
          <w:rFonts w:hint="eastAsia"/>
          <w:b/>
          <w:bCs/>
          <w:lang w:val="en-US" w:eastAsia="zh-CN"/>
        </w:rPr>
      </w:pPr>
      <w:r>
        <w:rPr>
          <w:rFonts w:hint="eastAsia"/>
          <w:b/>
          <w:bCs/>
          <w:lang w:val="en-US" w:eastAsia="zh-CN"/>
        </w:rPr>
        <w:t>- Option 1: Send LS to RAN1 to ask for clarification on whether the collision between SSB configuration and switching pattern configuration is allowed. Wait for RAN1 response to decide whether need the extension of measurement;</w:t>
      </w:r>
    </w:p>
    <w:p w14:paraId="3BE581AF">
      <w:pPr>
        <w:pStyle w:val="2"/>
        <w:bidi w:val="0"/>
        <w:ind w:leftChars="100"/>
        <w:rPr>
          <w:rFonts w:hint="default"/>
          <w:b/>
          <w:bCs/>
          <w:lang w:val="en-US" w:eastAsia="zh-CN"/>
        </w:rPr>
      </w:pPr>
      <w:r>
        <w:rPr>
          <w:rFonts w:hint="eastAsia"/>
          <w:b/>
          <w:bCs/>
          <w:lang w:val="en-US" w:eastAsia="zh-CN"/>
        </w:rPr>
        <w:t>- Option 2: Design the measurement extension solution and it is only applicable for the partial collision case between the SSB/SMTC occasions and the switching pattern.</w:t>
      </w:r>
    </w:p>
    <w:p w14:paraId="23573BF9">
      <w:pPr>
        <w:pStyle w:val="2"/>
        <w:bidi w:val="0"/>
        <w:rPr>
          <w:rFonts w:hint="eastAsia"/>
          <w:lang w:val="en-US" w:eastAsia="zh-CN"/>
        </w:rPr>
      </w:pPr>
      <w:r>
        <w:rPr>
          <w:rFonts w:hint="eastAsia"/>
          <w:lang w:val="en-US" w:eastAsia="zh-CN"/>
        </w:rPr>
        <w:t>For CSI-RS based measurements, including L1 measurement and L3 measurement, the collision handling has been given by RAN1 progress, and the measurement extension is needed when such collision happens.</w:t>
      </w:r>
    </w:p>
    <w:p w14:paraId="108F2108">
      <w:pPr>
        <w:pStyle w:val="2"/>
        <w:bidi w:val="0"/>
        <w:rPr>
          <w:rFonts w:hint="default"/>
          <w:b/>
          <w:bCs/>
          <w:lang w:val="en-US" w:eastAsia="zh-CN"/>
        </w:rPr>
      </w:pPr>
      <w:r>
        <w:rPr>
          <w:rFonts w:hint="eastAsia"/>
          <w:b/>
          <w:bCs/>
          <w:lang w:val="en-US" w:eastAsia="zh-CN"/>
        </w:rPr>
        <w:t xml:space="preserve">Proposal 2: For CSI-RS based measurements(L1 and L3), the measurement extension is needed when the partial collision happens between the CSI-RS resource occasions and the switching pattern. </w:t>
      </w:r>
    </w:p>
    <w:p w14:paraId="747DADD3">
      <w:pPr>
        <w:pStyle w:val="4"/>
        <w:bidi w:val="0"/>
        <w:rPr>
          <w:rFonts w:hint="default"/>
          <w:lang w:val="en-US" w:eastAsia="zh-CN"/>
        </w:rPr>
      </w:pPr>
      <w:r>
        <w:rPr>
          <w:rFonts w:hint="eastAsia"/>
          <w:lang w:val="en-US" w:eastAsia="zh-CN"/>
        </w:rPr>
        <w:t>2.2 Interruption requirements</w:t>
      </w:r>
    </w:p>
    <w:p w14:paraId="5C6E652A">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In last meeting, RAN4 achieved the consensus that not to define interruption requirements for both switching from SDL to FDD and switching from FDD to SDL. Meanwhile in last RAN1 meeting, the exact switching gap assumption for the switching from FDD to SDL has been approved as below and shown in Figure 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8AD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21B3651">
            <w:pPr>
              <w:rPr>
                <w:rFonts w:hint="eastAsia" w:eastAsia="等线"/>
                <w:highlight w:val="green"/>
                <w:lang w:eastAsia="zh-CN"/>
              </w:rPr>
            </w:pPr>
            <w:r>
              <w:rPr>
                <w:rFonts w:hint="eastAsia" w:eastAsia="等线"/>
                <w:highlight w:val="green"/>
                <w:lang w:eastAsia="zh-CN"/>
              </w:rPr>
              <w:t>Agreement</w:t>
            </w:r>
            <w:r>
              <w:rPr>
                <w:rFonts w:hint="eastAsia" w:eastAsia="等线"/>
                <w:color w:val="000000"/>
                <w:highlight w:val="none"/>
                <w:lang w:val="en-US" w:eastAsia="zh-CN"/>
              </w:rPr>
              <w:t>(RAN1#121 meeting)</w:t>
            </w:r>
          </w:p>
          <w:p w14:paraId="6832B806">
            <w:pPr>
              <w:contextualSpacing/>
              <w:rPr>
                <w:szCs w:val="20"/>
              </w:rPr>
            </w:pPr>
            <w:r>
              <w:rPr>
                <w:color w:val="000000"/>
                <w:szCs w:val="20"/>
              </w:rPr>
              <w:t xml:space="preserve">For RRC configuration of semi-static switching pattern in Rel-19 low NR band carrier aggregation via switching, regarding the location of the switching gap for switching from FDD carrier to SDL carrier, </w:t>
            </w:r>
            <w:r>
              <w:rPr>
                <w:color w:val="FF0000"/>
                <w:szCs w:val="20"/>
              </w:rPr>
              <w:t xml:space="preserve">only </w:t>
            </w:r>
            <w:r>
              <w:rPr>
                <w:color w:val="000000"/>
                <w:szCs w:val="20"/>
              </w:rPr>
              <w:t>support the s</w:t>
            </w:r>
            <w:r>
              <w:rPr>
                <w:szCs w:val="20"/>
              </w:rPr>
              <w:t>witching gap is located at the “switch from” carrier, i.e., FDD carrier.</w:t>
            </w:r>
          </w:p>
          <w:p w14:paraId="5C38C6A4">
            <w:pPr>
              <w:pStyle w:val="31"/>
              <w:numPr>
                <w:ilvl w:val="0"/>
                <w:numId w:val="8"/>
              </w:numPr>
              <w:ind w:leftChars="0"/>
              <w:contextualSpacing/>
              <w:rPr>
                <w:rFonts w:hint="default"/>
                <w:vertAlign w:val="baseline"/>
                <w:lang w:val="en-US" w:eastAsia="zh-CN"/>
              </w:rPr>
            </w:pPr>
            <w:r>
              <w:rPr>
                <w:szCs w:val="20"/>
              </w:rPr>
              <w:t>Switching gap ends at the end of the last slot on the “switch from” carrier</w:t>
            </w:r>
          </w:p>
        </w:tc>
      </w:tr>
    </w:tbl>
    <w:p w14:paraId="4DA172D8">
      <w:pPr>
        <w:pStyle w:val="2"/>
        <w:numPr>
          <w:ilvl w:val="0"/>
          <w:numId w:val="0"/>
        </w:numPr>
        <w:ind w:left="1800" w:leftChars="0"/>
        <w:contextualSpacing/>
        <w:rPr>
          <w:rFonts w:hint="eastAsia" w:eastAsia="等线"/>
          <w:color w:val="000000"/>
          <w:lang w:val="en-US" w:eastAsia="zh-CN"/>
        </w:rPr>
      </w:pPr>
    </w:p>
    <w:p w14:paraId="53406D6C">
      <w:pPr>
        <w:pStyle w:val="2"/>
        <w:numPr>
          <w:ilvl w:val="0"/>
          <w:numId w:val="0"/>
        </w:numPr>
        <w:ind w:left="1800" w:leftChars="0"/>
        <w:contextualSpacing/>
        <w:rPr>
          <w:rFonts w:hint="eastAsia" w:eastAsia="等线"/>
          <w:color w:val="000000"/>
          <w:lang w:val="en-US" w:eastAsia="zh-CN"/>
        </w:rPr>
      </w:pPr>
      <w:r>
        <w:rPr>
          <w:rFonts w:hint="eastAsia" w:eastAsia="等线"/>
          <w:color w:val="000000"/>
          <w:lang w:val="en-US" w:eastAsia="zh-CN"/>
        </w:rPr>
        <w:object>
          <v:shape id="_x0000_i1027" o:spt="75" type="#_x0000_t75" style="height:92.7pt;width:304.75pt;" o:ole="t" filled="f" o:preferrelative="t" stroked="f" coordsize="21600,21600">
            <v:path/>
            <v:fill on="f" focussize="0,0"/>
            <v:stroke on="f"/>
            <v:imagedata r:id="rId9" o:title=""/>
            <o:lock v:ext="edit" aspectratio="f"/>
            <w10:wrap type="none"/>
            <w10:anchorlock/>
          </v:shape>
          <o:OLEObject Type="Embed" ProgID="Visio.Drawing.11" ShapeID="_x0000_i1027" DrawAspect="Content" ObjectID="_1468075725" r:id="rId8">
            <o:LockedField>false</o:LockedField>
          </o:OLEObject>
        </w:object>
      </w:r>
    </w:p>
    <w:p w14:paraId="1FBED78D">
      <w:pPr>
        <w:jc w:val="center"/>
        <w:rPr>
          <w:rFonts w:hint="eastAsia"/>
          <w:highlight w:val="none"/>
          <w:lang w:val="en-US" w:eastAsia="zh-CN"/>
        </w:rPr>
      </w:pPr>
      <w:r>
        <w:rPr>
          <w:rFonts w:hint="eastAsia" w:eastAsia="等线"/>
          <w:color w:val="000000"/>
          <w:highlight w:val="none"/>
          <w:lang w:val="en-US" w:eastAsia="zh-CN"/>
        </w:rPr>
        <w:t>Figure 3  the switching gap on FDD</w:t>
      </w:r>
    </w:p>
    <w:p w14:paraId="665B43BF">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We can not find any contradiction between latest RAN1 progress and the decision on interruption achieved in RAN4. So no update is needed and follow the interruption decision achieved in last RAN4 meeting. </w:t>
      </w:r>
    </w:p>
    <w:p w14:paraId="238BFE8B">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3: Confirm the interruption decision achieved in last meeting, no need update.</w:t>
      </w:r>
    </w:p>
    <w:p w14:paraId="10C3C071">
      <w:pPr>
        <w:pStyle w:val="4"/>
        <w:bidi w:val="0"/>
        <w:rPr>
          <w:rFonts w:hint="eastAsia"/>
          <w:lang w:val="en-US" w:eastAsia="zh-CN"/>
        </w:rPr>
      </w:pPr>
      <w:r>
        <w:rPr>
          <w:rFonts w:hint="eastAsia"/>
          <w:lang w:val="en-US" w:eastAsia="zh-CN"/>
        </w:rPr>
        <w:t>2.3 SDL SCell related requirements</w:t>
      </w:r>
    </w:p>
    <w:p w14:paraId="4E8B4B2E">
      <w:pPr>
        <w:rPr>
          <w:rFonts w:hint="eastAsia"/>
          <w:lang w:val="en-US" w:eastAsia="zh-CN"/>
        </w:rPr>
      </w:pPr>
    </w:p>
    <w:p w14:paraId="2F852A31">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For the deactivated SDL SCell L3 measurement requirements, since the switching pattern is not applicable to deactivated SCell phase, how to define the requirements should be discussed. </w:t>
      </w:r>
    </w:p>
    <w:p w14:paraId="23CE9BDE">
      <w:pPr>
        <w:pStyle w:val="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When the SDL SCell is deactivated, actually both the antenna and the RF chain can be used for FDD PCell Rx and Tx, so the measurement on deactivated SDL SCell would result to interruption on FDD PCell, the exact interruption ratio was discussed in last meeting but no consensus achieved. To our understanding, how to calculate the interruption ratio, both the switching period and the measurement length should be considered, so the missed ACK/NACK ratio X could be derived as below:</w:t>
      </w:r>
    </w:p>
    <w:p w14:paraId="5FA0F656">
      <w:pPr>
        <w:pStyle w:val="31"/>
        <w:numPr>
          <w:ilvl w:val="0"/>
          <w:numId w:val="0"/>
        </w:numPr>
        <w:spacing w:after="120"/>
        <w:rPr>
          <w:rFonts w:hint="default" w:ascii="Arial" w:hAnsi="Arial" w:eastAsia="Times New Roman" w:cs="Times New Roman"/>
          <w:kern w:val="0"/>
          <w:sz w:val="20"/>
          <w:szCs w:val="24"/>
          <w:lang w:val="en-US" w:eastAsia="zh-CN" w:bidi="ar-SA"/>
        </w:rPr>
      </w:pPr>
      <w:r>
        <w:rPr>
          <w:rFonts w:hint="eastAsia" w:ascii="Arial" w:hAnsi="Arial" w:eastAsia="Times New Roman" w:cs="Times New Roman"/>
          <w:kern w:val="0"/>
          <w:sz w:val="20"/>
          <w:szCs w:val="24"/>
          <w:lang w:val="en-US" w:eastAsia="zh-CN" w:bidi="ar-SA"/>
        </w:rPr>
        <w:t xml:space="preserve">X= </w:t>
      </w:r>
      <m:oMath>
        <m:f>
          <m:fPr>
            <m:ctrlPr>
              <w:rPr>
                <w:rFonts w:hint="eastAsia" w:ascii="Cambria Math" w:hAnsi="Cambria Math" w:eastAsia="Times New Roman" w:cs="Times New Roman"/>
                <w:kern w:val="0"/>
                <w:sz w:val="20"/>
                <w:szCs w:val="24"/>
                <w:lang w:val="en-US" w:eastAsia="zh-CN" w:bidi="ar-SA"/>
              </w:rPr>
            </m:ctrlPr>
          </m:fPr>
          <m:num>
            <m:r>
              <m:rPr>
                <m:sty m:val="p"/>
              </m:rPr>
              <w:rPr>
                <w:rFonts w:hint="eastAsia" w:ascii="Cambria Math" w:hAnsi="Cambria Math" w:eastAsia="Times New Roman" w:cs="Times New Roman"/>
                <w:kern w:val="0"/>
                <w:sz w:val="20"/>
                <w:szCs w:val="24"/>
                <w:lang w:val="en-US" w:eastAsia="zh-CN" w:bidi="ar-SA"/>
              </w:rPr>
              <m:t>Y</m:t>
            </m:r>
            <m:ctrlPr>
              <w:rPr>
                <w:rFonts w:hint="eastAsia" w:ascii="Cambria Math" w:hAnsi="Cambria Math" w:eastAsia="Times New Roman" w:cs="Times New Roman"/>
                <w:kern w:val="0"/>
                <w:sz w:val="20"/>
                <w:szCs w:val="24"/>
                <w:lang w:val="en-US" w:eastAsia="zh-CN" w:bidi="ar-SA"/>
              </w:rPr>
            </m:ctrlPr>
          </m:num>
          <m:den>
            <m:r>
              <m:rPr>
                <m:sty m:val="p"/>
              </m:rPr>
              <w:rPr>
                <w:rFonts w:hint="eastAsia" w:ascii="Cambria Math" w:hAnsi="Cambria Math" w:eastAsia="Times New Roman" w:cs="Times New Roman"/>
                <w:kern w:val="0"/>
                <w:sz w:val="20"/>
                <w:szCs w:val="24"/>
                <w:lang w:val="en-US" w:eastAsia="zh-CN" w:bidi="ar-SA"/>
              </w:rPr>
              <m:t>measCycleSCell</m:t>
            </m:r>
            <m:ctrlPr>
              <w:rPr>
                <w:rFonts w:hint="eastAsia" w:ascii="Cambria Math" w:hAnsi="Cambria Math" w:eastAsia="Times New Roman" w:cs="Times New Roman"/>
                <w:kern w:val="0"/>
                <w:sz w:val="20"/>
                <w:szCs w:val="24"/>
                <w:lang w:val="en-US" w:eastAsia="zh-CN" w:bidi="ar-SA"/>
              </w:rPr>
            </m:ctrlPr>
          </m:den>
        </m:f>
        <m:r>
          <m:rPr>
            <m:sty m:val="p"/>
          </m:rPr>
          <w:rPr>
            <w:rFonts w:hint="eastAsia"/>
            <w:lang w:val="en-US" w:eastAsia="zh-CN"/>
          </w:rPr>
          <m:t>,</m:t>
        </m:r>
      </m:oMath>
      <w:r>
        <w:rPr>
          <w:rFonts w:hint="eastAsia" w:ascii="Arial" w:hAnsi="Arial" w:eastAsia="Times New Roman" w:cs="Times New Roman"/>
          <w:kern w:val="0"/>
          <w:sz w:val="20"/>
          <w:szCs w:val="24"/>
          <w:lang w:val="en-US" w:eastAsia="zh-CN" w:bidi="ar-SA"/>
        </w:rPr>
        <w:t xml:space="preserve"> where Y=2* (</w:t>
      </w:r>
      <w:r>
        <w:rPr>
          <w:rFonts w:hint="eastAsia"/>
          <w:lang w:val="en-US" w:eastAsia="zh-CN"/>
        </w:rPr>
        <w:t>switching period</w:t>
      </w:r>
      <w:r>
        <w:rPr>
          <w:rFonts w:hint="eastAsia" w:ascii="Arial" w:hAnsi="Arial" w:eastAsia="Times New Roman" w:cs="Times New Roman"/>
          <w:kern w:val="0"/>
          <w:sz w:val="20"/>
          <w:szCs w:val="24"/>
          <w:lang w:val="en-US" w:eastAsia="zh-CN" w:bidi="ar-SA"/>
        </w:rPr>
        <w:t xml:space="preserve"> + measurement window + </w:t>
      </w:r>
      <w:r>
        <w:rPr>
          <w:rFonts w:hint="eastAsia"/>
          <w:lang w:val="en-US" w:eastAsia="zh-CN"/>
        </w:rPr>
        <w:t>switching period</w:t>
      </w:r>
      <w:r>
        <w:rPr>
          <w:rFonts w:hint="eastAsia" w:ascii="Arial" w:hAnsi="Arial" w:eastAsia="Times New Roman" w:cs="Times New Roman"/>
          <w:kern w:val="0"/>
          <w:sz w:val="20"/>
          <w:szCs w:val="24"/>
          <w:lang w:val="en-US" w:eastAsia="zh-CN" w:bidi="ar-SA"/>
        </w:rPr>
        <w:t>), in slot level, because both scheduled PDSCH/PDCCH and ACK/NACK transmission of schedule PDSCH is interrupted.</w:t>
      </w:r>
    </w:p>
    <w:p w14:paraId="591077E7">
      <w:pPr>
        <w:pStyle w:val="2"/>
        <w:rPr>
          <w:rFonts w:hint="default"/>
          <w:b/>
          <w:bCs/>
          <w:lang w:val="en-US" w:eastAsia="zh-CN"/>
        </w:rPr>
      </w:pPr>
      <w:r>
        <w:rPr>
          <w:rFonts w:hint="eastAsia"/>
          <w:b/>
          <w:bCs/>
          <w:lang w:val="en-US" w:eastAsia="zh-CN"/>
        </w:rPr>
        <w:t xml:space="preserve">Proposal 4: For the deactivated SDL SCell measurement, the interruption ratio X could be specified as X= </w:t>
      </w:r>
      <m:oMath>
        <m:f>
          <m:fPr>
            <m:ctrlPr>
              <w:rPr>
                <w:rFonts w:hint="eastAsia" w:ascii="Cambria Math" w:hAnsi="Cambria Math"/>
                <w:b/>
                <w:bCs/>
                <w:lang w:val="en-US" w:eastAsia="zh-CN"/>
              </w:rPr>
            </m:ctrlPr>
          </m:fPr>
          <m:num>
            <m:r>
              <m:rPr>
                <m:sty m:val="b"/>
              </m:rPr>
              <w:rPr>
                <w:rFonts w:hint="eastAsia" w:ascii="Cambria Math" w:hAnsi="Cambria Math"/>
                <w:lang w:val="en-US" w:eastAsia="zh-CN"/>
              </w:rPr>
              <m:t>Y</m:t>
            </m:r>
            <m:ctrlPr>
              <w:rPr>
                <w:rFonts w:hint="eastAsia" w:ascii="Cambria Math" w:hAnsi="Cambria Math"/>
                <w:b/>
                <w:bCs/>
                <w:lang w:val="en-US" w:eastAsia="zh-CN"/>
              </w:rPr>
            </m:ctrlPr>
          </m:num>
          <m:den>
            <m:r>
              <m:rPr>
                <m:sty m:val="b"/>
              </m:rPr>
              <w:rPr>
                <w:rFonts w:hint="eastAsia" w:ascii="Cambria Math" w:hAnsi="Cambria Math"/>
                <w:lang w:val="en-US" w:eastAsia="zh-CN"/>
              </w:rPr>
              <m:t>measCycleSCell</m:t>
            </m:r>
            <m:ctrlPr>
              <w:rPr>
                <w:rFonts w:hint="eastAsia" w:ascii="Cambria Math" w:hAnsi="Cambria Math"/>
                <w:b/>
                <w:bCs/>
                <w:lang w:val="en-US" w:eastAsia="zh-CN"/>
              </w:rPr>
            </m:ctrlPr>
          </m:den>
        </m:f>
      </m:oMath>
      <w:r>
        <w:rPr>
          <w:rFonts w:hint="eastAsia" w:hAnsi="Cambria Math"/>
          <w:b/>
          <w:bCs/>
          <w:i w:val="0"/>
          <w:lang w:val="en-US" w:eastAsia="zh-CN"/>
        </w:rPr>
        <w:t xml:space="preserve"> , where Y=2* (switching period + measurement window + switching period), in slot level, because both scheduled PDSCH/PDCCH and ACK/NACK transmission of schedule PDSCH is interrupted.</w:t>
      </w:r>
    </w:p>
    <w:p w14:paraId="1B58F695">
      <w:pPr>
        <w:pStyle w:val="2"/>
        <w:rPr>
          <w:rFonts w:hint="default"/>
          <w:b/>
          <w:bCs/>
          <w:lang w:val="en-US" w:eastAsia="zh-CN"/>
        </w:rPr>
      </w:pPr>
    </w:p>
    <w:p w14:paraId="02C02AED">
      <w:pPr>
        <w:pStyle w:val="2"/>
        <w:bidi w:val="0"/>
        <w:rPr>
          <w:rFonts w:hint="default"/>
          <w:lang w:val="en-US" w:eastAsia="zh-CN"/>
        </w:rPr>
      </w:pPr>
      <w:r>
        <w:rPr>
          <w:rFonts w:hint="eastAsia"/>
          <w:lang w:val="en-US" w:eastAsia="zh-CN"/>
        </w:rPr>
        <w:t>Overview the whole SCell activation procedure, in legacy the following components are involved in and shown in Figure 3:</w:t>
      </w:r>
    </w:p>
    <w:p w14:paraId="271FADC7">
      <w:pPr>
        <w:pStyle w:val="2"/>
        <w:numPr>
          <w:ilvl w:val="0"/>
          <w:numId w:val="9"/>
        </w:numPr>
        <w:bidi w:val="0"/>
        <w:rPr>
          <w:rFonts w:hint="default"/>
          <w:lang w:val="en-US" w:eastAsia="zh-CN"/>
        </w:rPr>
      </w:pPr>
      <w:r>
        <w:rPr>
          <w:rFonts w:hint="eastAsia"/>
          <w:lang w:val="en-US" w:eastAsia="zh-CN"/>
        </w:rPr>
        <w:t>L3 part including AGC and cell search</w:t>
      </w:r>
    </w:p>
    <w:p w14:paraId="1A35E8C5">
      <w:pPr>
        <w:pStyle w:val="2"/>
        <w:numPr>
          <w:ilvl w:val="0"/>
          <w:numId w:val="9"/>
        </w:numPr>
        <w:bidi w:val="0"/>
        <w:rPr>
          <w:rFonts w:hint="default"/>
          <w:lang w:val="en-US" w:eastAsia="zh-CN"/>
        </w:rPr>
      </w:pPr>
      <w:r>
        <w:rPr>
          <w:rFonts w:hint="eastAsia"/>
          <w:lang w:val="en-US" w:eastAsia="zh-CN"/>
        </w:rPr>
        <w:t>L1 part with L1-RSRP measurement and report for unknown SCell</w:t>
      </w:r>
    </w:p>
    <w:p w14:paraId="4AD47EED">
      <w:pPr>
        <w:pStyle w:val="2"/>
        <w:numPr>
          <w:ilvl w:val="0"/>
          <w:numId w:val="9"/>
        </w:numPr>
        <w:bidi w:val="0"/>
        <w:rPr>
          <w:rFonts w:hint="default"/>
          <w:lang w:val="en-US" w:eastAsia="zh-CN"/>
        </w:rPr>
      </w:pPr>
      <w:r>
        <w:rPr>
          <w:rFonts w:hint="eastAsia"/>
          <w:lang w:val="en-US" w:eastAsia="zh-CN"/>
        </w:rPr>
        <w:t>Fine T/F tracking after TCI state indication</w:t>
      </w:r>
    </w:p>
    <w:p w14:paraId="4512A24C">
      <w:pPr>
        <w:pStyle w:val="2"/>
        <w:numPr>
          <w:ilvl w:val="0"/>
          <w:numId w:val="9"/>
        </w:numPr>
        <w:bidi w:val="0"/>
        <w:rPr>
          <w:rFonts w:hint="default"/>
          <w:lang w:val="en-US" w:eastAsia="zh-CN"/>
        </w:rPr>
      </w:pPr>
      <w:r>
        <w:rPr>
          <w:rFonts w:hint="eastAsia"/>
          <w:lang w:val="en-US" w:eastAsia="zh-CN"/>
        </w:rPr>
        <w:t xml:space="preserve">CSI measurement and report </w:t>
      </w:r>
    </w:p>
    <w:p w14:paraId="0EC375C3">
      <w:pPr>
        <w:numPr>
          <w:ilvl w:val="0"/>
          <w:numId w:val="0"/>
        </w:numPr>
        <w:jc w:val="left"/>
      </w:pPr>
      <w:r>
        <w:drawing>
          <wp:inline distT="0" distB="0" distL="114300" distR="114300">
            <wp:extent cx="5621655" cy="987425"/>
            <wp:effectExtent l="0" t="0" r="17145" b="31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stretch>
                      <a:fillRect/>
                    </a:stretch>
                  </pic:blipFill>
                  <pic:spPr>
                    <a:xfrm>
                      <a:off x="0" y="0"/>
                      <a:ext cx="5621655" cy="987425"/>
                    </a:xfrm>
                    <a:prstGeom prst="rect">
                      <a:avLst/>
                    </a:prstGeom>
                    <a:noFill/>
                    <a:ln>
                      <a:noFill/>
                    </a:ln>
                  </pic:spPr>
                </pic:pic>
              </a:graphicData>
            </a:graphic>
          </wp:inline>
        </w:drawing>
      </w:r>
    </w:p>
    <w:p w14:paraId="621BACCD">
      <w:pPr>
        <w:numPr>
          <w:ilvl w:val="0"/>
          <w:numId w:val="0"/>
        </w:numPr>
        <w:jc w:val="center"/>
        <w:rPr>
          <w:rFonts w:hint="eastAsia"/>
          <w:lang w:val="en-US" w:eastAsia="zh-CN"/>
        </w:rPr>
      </w:pPr>
      <w:r>
        <w:rPr>
          <w:rFonts w:hint="eastAsia"/>
          <w:lang w:val="en-US" w:eastAsia="zh-CN"/>
        </w:rPr>
        <w:t>Figure.3 The whole procedure of SCell activation</w:t>
      </w:r>
    </w:p>
    <w:p w14:paraId="36567E8A">
      <w:pPr>
        <w:pStyle w:val="2"/>
        <w:bidi w:val="0"/>
        <w:rPr>
          <w:rFonts w:hint="default"/>
          <w:lang w:val="en-US" w:eastAsia="zh-CN"/>
        </w:rPr>
      </w:pPr>
    </w:p>
    <w:p w14:paraId="578324D3">
      <w:pPr>
        <w:pStyle w:val="2"/>
        <w:bidi w:val="0"/>
        <w:rPr>
          <w:rFonts w:hint="eastAsia"/>
          <w:lang w:val="en-US" w:eastAsia="zh-CN"/>
        </w:rPr>
      </w:pPr>
      <w:r>
        <w:rPr>
          <w:rFonts w:hint="eastAsia"/>
          <w:lang w:val="en-US" w:eastAsia="zh-CN"/>
        </w:rPr>
        <w:t>For FR1 SSB based solution, the L3 part is performed based on SSB, the L1 part is based on SSB or CSI-RS resources used for beam management and not needed for known case. The fine T/F tracking is performed based on 1</w:t>
      </w:r>
      <w:r>
        <w:rPr>
          <w:rFonts w:hint="eastAsia"/>
          <w:vertAlign w:val="superscript"/>
          <w:lang w:val="en-US" w:eastAsia="zh-CN"/>
        </w:rPr>
        <w:t>st</w:t>
      </w:r>
      <w:r>
        <w:rPr>
          <w:rFonts w:hint="eastAsia"/>
          <w:lang w:val="en-US" w:eastAsia="zh-CN"/>
        </w:rPr>
        <w:t xml:space="preserve"> SSB after TCI state indication. The CSI measurement and report is based on P/SP CSI-RS resources configured through CSI framework. So one essential point is that NW and UE should achieve common understanding regarding whether the SDL SCell is known or unknown. </w:t>
      </w:r>
    </w:p>
    <w:p w14:paraId="5ABD5D6E">
      <w:pPr>
        <w:pStyle w:val="2"/>
        <w:bidi w:val="0"/>
        <w:rPr>
          <w:rFonts w:hint="eastAsia"/>
          <w:b/>
          <w:bCs/>
          <w:lang w:val="en-US" w:eastAsia="zh-CN"/>
        </w:rPr>
      </w:pPr>
      <w:r>
        <w:rPr>
          <w:rFonts w:hint="eastAsia"/>
          <w:b/>
          <w:bCs/>
          <w:lang w:val="en-US" w:eastAsia="zh-CN"/>
        </w:rPr>
        <w:t>Proposal 5: To make sure in which RS occasions the switching is expected, NW and UE should achieve common understanding regarding whether the SDL SCell is known or unknown.</w:t>
      </w:r>
    </w:p>
    <w:p w14:paraId="260F8720">
      <w:pPr>
        <w:pStyle w:val="2"/>
        <w:bidi w:val="0"/>
        <w:rPr>
          <w:rFonts w:hint="default"/>
          <w:b/>
          <w:bCs/>
          <w:lang w:val="en-US" w:eastAsia="zh-CN"/>
        </w:rPr>
      </w:pPr>
      <w:r>
        <w:rPr>
          <w:rFonts w:hint="eastAsia"/>
          <w:lang w:val="en-US" w:eastAsia="zh-CN"/>
        </w:rPr>
        <w:t>For the CSI measurement and report, one straightforward assumption is after the fine T/F tracking, UE would perform CSI measurement based on P/SP CSI-RS resources until UE sends CSI reporting to NW. But one risk is that NW misses the CSI report due to some UL block happening, the CSI measurement is always assumed as long as no valid CSI report received by NW? Maybe RAN4 needs some mechanism to address such risky case.</w:t>
      </w:r>
    </w:p>
    <w:p w14:paraId="3282D748">
      <w:pPr>
        <w:pStyle w:val="2"/>
        <w:bidi w:val="0"/>
        <w:rPr>
          <w:rFonts w:hint="default"/>
          <w:lang w:val="en-US" w:eastAsia="zh-CN"/>
        </w:rPr>
      </w:pPr>
      <w:r>
        <w:rPr>
          <w:rFonts w:hint="eastAsia"/>
          <w:b/>
          <w:bCs/>
          <w:lang w:val="en-US" w:eastAsia="zh-CN"/>
        </w:rPr>
        <w:t xml:space="preserve">Proposal 6: The starting point and ending point of CSI measurement for the sake of CSI reporting should be determined. </w:t>
      </w:r>
    </w:p>
    <w:p w14:paraId="0ABD9000">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During the whole SDL SCell activation procedure, UE only dwells on the to-be-activated SDL SCell when the L3 and/or L1 measurement is to perform. Before and after the L3 and/or L1 measurement, UE is always serving by the PCell. So the relevant interruption or scheduling restriction should be defined for the PCell. For details, the length of interruption or scheduling restriction could be defined as {(switching period for FDD-to-SDL) + SSB/SMTC/CSI-RS duration + (switching period for FDD-to-SDL)}.</w:t>
      </w:r>
    </w:p>
    <w:p w14:paraId="11959ACF">
      <w:pPr>
        <w:pStyle w:val="2"/>
        <w:bidi w:val="0"/>
        <w:rPr>
          <w:rFonts w:hint="default"/>
          <w:lang w:val="en-US" w:eastAsia="zh-CN"/>
        </w:rPr>
      </w:pPr>
      <w:r>
        <w:rPr>
          <w:rFonts w:hint="eastAsia"/>
          <w:b/>
          <w:bCs/>
          <w:lang w:val="en-US" w:eastAsia="zh-CN"/>
        </w:rPr>
        <w:t xml:space="preserve">Proposal 7: The length of interruption or scheduling restriction in FDD PCell caused by SDL SCell activation could be defined as {(switching period for FDD-to-SDL) + SSB/SMTC/CSI-RS duration + (switching period for FDD-to-SDL)}. </w:t>
      </w:r>
    </w:p>
    <w:p w14:paraId="072D6955">
      <w:pPr>
        <w:pStyle w:val="4"/>
        <w:bidi w:val="0"/>
        <w:rPr>
          <w:rFonts w:hint="eastAsia"/>
          <w:lang w:val="en-US" w:eastAsia="zh-CN"/>
        </w:rPr>
      </w:pPr>
      <w:r>
        <w:rPr>
          <w:rFonts w:hint="eastAsia"/>
          <w:lang w:val="en-US" w:eastAsia="zh-CN"/>
        </w:rPr>
        <w:t>2.4 Impact on FDD PCell</w:t>
      </w:r>
    </w:p>
    <w:p w14:paraId="66B779A1">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FDD PCell, RAN4 needs to discuss the potential impact on the RRM measurement when the switching pattern enabled.</w:t>
      </w:r>
    </w:p>
    <w:p w14:paraId="60C7AF92">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For the RRM measurement on FDD PCC, UE performs measurement according to the switching pattern and SMTC configuration. The periodicity of p = 40ms of switchign pattern is decided by RAN1, as we analyzed in 2.1, since the typical SMTC periodicity is not smaller than 40ms and the lower bound of UE measurement period is 200 ms for intra-frequency measurement in FR1, one SMTC periodicity would contain interger number of switching periodicity, so either all SSB occasions are within the PCell ON duration or none SSB occasion is within the PCell ON duration. So actually NW would configure the SMTC of PCell within the PCell ON duration to guarantee the PCC measurement.</w:t>
      </w:r>
    </w:p>
    <w:p w14:paraId="75E112C0">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Another issue is regarding the UL timing, based on current RAN1 progress, it seems no need to concern the SSB of reference cell(PCell) can not be received within latest 160ms. </w:t>
      </w:r>
    </w:p>
    <w:p w14:paraId="170BCD42">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8: UE performs intra-frequency measurement for PCell within the PCell ON duration, no need additional enhancement.</w:t>
      </w:r>
    </w:p>
    <w:p w14:paraId="2D06E702">
      <w:pPr>
        <w:pStyle w:val="2"/>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6C627616">
      <w:pPr>
        <w:pStyle w:val="2"/>
        <w:bidi w:val="0"/>
        <w:rPr>
          <w:rFonts w:hint="eastAsia"/>
          <w:b/>
          <w:bCs/>
          <w:lang w:val="en-US" w:eastAsia="zh-CN"/>
        </w:rPr>
      </w:pPr>
      <w:r>
        <w:rPr>
          <w:rFonts w:hint="eastAsia"/>
          <w:b/>
          <w:bCs/>
          <w:lang w:val="en-US" w:eastAsia="zh-CN"/>
        </w:rPr>
        <w:t>Observation 1: The collision handling has already approved in RAN1 and whole handling could be classified into two types:</w:t>
      </w:r>
    </w:p>
    <w:p w14:paraId="4D4FCC84">
      <w:pPr>
        <w:pStyle w:val="2"/>
        <w:bidi w:val="0"/>
        <w:ind w:firstLine="201" w:firstLineChars="100"/>
        <w:rPr>
          <w:rFonts w:hint="default"/>
          <w:b/>
          <w:bCs/>
          <w:lang w:val="en-US" w:eastAsia="zh-CN"/>
        </w:rPr>
      </w:pPr>
      <w:r>
        <w:rPr>
          <w:rFonts w:hint="eastAsia"/>
          <w:b/>
          <w:bCs/>
          <w:lang w:val="en-US" w:eastAsia="zh-CN"/>
        </w:rPr>
        <w:t>- Type 1: The collisions between the switching pattern and semi-static DL/UL signals</w:t>
      </w:r>
    </w:p>
    <w:p w14:paraId="09BAD6A9">
      <w:pPr>
        <w:pStyle w:val="2"/>
        <w:bidi w:val="0"/>
        <w:ind w:firstLine="201" w:firstLineChars="100"/>
        <w:rPr>
          <w:rFonts w:hint="eastAsia"/>
          <w:b/>
          <w:bCs/>
          <w:lang w:val="en-US" w:eastAsia="zh-CN"/>
        </w:rPr>
      </w:pPr>
      <w:r>
        <w:rPr>
          <w:rFonts w:hint="eastAsia"/>
          <w:b/>
          <w:bCs/>
          <w:lang w:val="en-US" w:eastAsia="zh-CN"/>
        </w:rPr>
        <w:t>- Type 2: The collisions between the switching pattern and dynamic scheduled DL/UL signals</w:t>
      </w:r>
    </w:p>
    <w:p w14:paraId="71EABD89">
      <w:pPr>
        <w:pStyle w:val="2"/>
        <w:bidi w:val="0"/>
        <w:rPr>
          <w:rFonts w:hint="default"/>
          <w:b/>
          <w:bCs/>
          <w:lang w:val="en-US" w:eastAsia="zh-CN"/>
        </w:rPr>
      </w:pPr>
      <w:r>
        <w:rPr>
          <w:rFonts w:hint="eastAsia"/>
          <w:b/>
          <w:bCs/>
          <w:lang w:val="en-US" w:eastAsia="zh-CN"/>
        </w:rPr>
        <w:t xml:space="preserve">Observation 2: For Type 1, the collision between SSB configuration and switching pattern is not mentioned by RAN1. The probable reason behind is to assume similar strategy as what happened between the SSB configuration and TDD pattern in legacy R15/16, i.e. the SSB configuration is assumed not conflicting with </w:t>
      </w:r>
      <w:r>
        <w:rPr>
          <w:rFonts w:hint="default"/>
          <w:b/>
          <w:bCs/>
          <w:lang w:val="en-US" w:eastAsia="zh-CN"/>
        </w:rPr>
        <w:t>‘</w:t>
      </w:r>
      <w:r>
        <w:rPr>
          <w:rFonts w:hint="eastAsia"/>
          <w:b/>
          <w:bCs/>
          <w:lang w:val="en-US" w:eastAsia="zh-CN"/>
        </w:rPr>
        <w:t>U</w:t>
      </w:r>
      <w:r>
        <w:rPr>
          <w:rFonts w:hint="default"/>
          <w:b/>
          <w:bCs/>
          <w:lang w:val="en-US" w:eastAsia="zh-CN"/>
        </w:rPr>
        <w:t>’</w:t>
      </w:r>
      <w:r>
        <w:rPr>
          <w:rFonts w:hint="eastAsia"/>
          <w:b/>
          <w:bCs/>
          <w:lang w:val="en-US" w:eastAsia="zh-CN"/>
        </w:rPr>
        <w:t xml:space="preserve"> in TDD pattern, which implies the SSB configuration would not conflict with the switching pattern in LB CA.</w:t>
      </w:r>
    </w:p>
    <w:p w14:paraId="662B70A9">
      <w:pPr>
        <w:pStyle w:val="2"/>
        <w:bidi w:val="0"/>
        <w:rPr>
          <w:rFonts w:hint="eastAsia"/>
          <w:b/>
          <w:bCs/>
          <w:lang w:val="en-US" w:eastAsia="zh-CN"/>
        </w:rPr>
      </w:pPr>
      <w:r>
        <w:rPr>
          <w:rFonts w:hint="eastAsia"/>
          <w:b/>
          <w:bCs/>
          <w:lang w:val="en-US" w:eastAsia="zh-CN"/>
        </w:rPr>
        <w:t xml:space="preserve">Observation 3: Both the switching pattern configuration and SSB/SMTC configuration start from SFN 0. Considering the only allowed periodicity of switching pattern is p=40ms, </w:t>
      </w:r>
    </w:p>
    <w:p w14:paraId="7CE13AA8">
      <w:pPr>
        <w:pStyle w:val="2"/>
        <w:bidi w:val="0"/>
        <w:ind w:leftChars="100"/>
        <w:rPr>
          <w:rFonts w:hint="eastAsia"/>
          <w:b/>
          <w:bCs/>
          <w:lang w:val="en-US" w:eastAsia="zh-CN"/>
        </w:rPr>
      </w:pPr>
      <w:r>
        <w:rPr>
          <w:rFonts w:hint="eastAsia"/>
          <w:b/>
          <w:bCs/>
          <w:lang w:val="en-US" w:eastAsia="zh-CN"/>
        </w:rPr>
        <w:t>- for the typical periodicity configuration of SMTC {40ms, 80ms, 160ms}, take SCC as instance, either all SCC SMTC occasions are available or none of them is available, the case of part of SCC SMTC occasions are available would not happen.</w:t>
      </w:r>
    </w:p>
    <w:p w14:paraId="302808C2">
      <w:pPr>
        <w:pStyle w:val="2"/>
        <w:bidi w:val="0"/>
        <w:ind w:leftChars="100"/>
        <w:rPr>
          <w:rFonts w:hint="default"/>
          <w:b/>
          <w:bCs/>
          <w:lang w:val="en-US" w:eastAsia="zh-CN"/>
        </w:rPr>
      </w:pPr>
      <w:r>
        <w:rPr>
          <w:rFonts w:hint="eastAsia"/>
          <w:b/>
          <w:bCs/>
          <w:lang w:val="en-US" w:eastAsia="zh-CN"/>
        </w:rPr>
        <w:t>- only for the case of SMTC periodicity configured as 20ms, still take SCC as instance, the case of part of SCC SMTC occasions are available would happen. The extension solution only works under this case.</w:t>
      </w:r>
    </w:p>
    <w:p w14:paraId="6F285D1E">
      <w:pPr>
        <w:pStyle w:val="2"/>
        <w:bidi w:val="0"/>
        <w:rPr>
          <w:rFonts w:hint="default"/>
          <w:b/>
          <w:bCs/>
          <w:lang w:val="en-US" w:eastAsia="zh-CN"/>
        </w:rPr>
      </w:pPr>
      <w:r>
        <w:rPr>
          <w:rFonts w:hint="eastAsia"/>
          <w:b/>
          <w:bCs/>
          <w:lang w:val="en-US" w:eastAsia="zh-CN"/>
        </w:rPr>
        <w:t>Proposal 1: Based on above observations, we suggest two options as below and which option to follow, up to RAN4 discussion.</w:t>
      </w:r>
    </w:p>
    <w:p w14:paraId="11E0B842">
      <w:pPr>
        <w:pStyle w:val="2"/>
        <w:bidi w:val="0"/>
        <w:ind w:leftChars="100"/>
        <w:rPr>
          <w:rFonts w:hint="eastAsia"/>
          <w:b/>
          <w:bCs/>
          <w:lang w:val="en-US" w:eastAsia="zh-CN"/>
        </w:rPr>
      </w:pPr>
      <w:r>
        <w:rPr>
          <w:rFonts w:hint="eastAsia"/>
          <w:b/>
          <w:bCs/>
          <w:lang w:val="en-US" w:eastAsia="zh-CN"/>
        </w:rPr>
        <w:t>- Option 1: Send LS to RAN1 to ask for clarification on whether the collision between SSB configuration and switching pattern configuration is allowed. Wait for RAN1 response to decide whether need the extension of measurement;</w:t>
      </w:r>
    </w:p>
    <w:p w14:paraId="61657601">
      <w:pPr>
        <w:pStyle w:val="2"/>
        <w:bidi w:val="0"/>
        <w:ind w:leftChars="100"/>
        <w:rPr>
          <w:rFonts w:hint="default"/>
          <w:b/>
          <w:bCs/>
          <w:lang w:val="en-US" w:eastAsia="zh-CN"/>
        </w:rPr>
      </w:pPr>
      <w:r>
        <w:rPr>
          <w:rFonts w:hint="eastAsia"/>
          <w:b/>
          <w:bCs/>
          <w:lang w:val="en-US" w:eastAsia="zh-CN"/>
        </w:rPr>
        <w:t>- Option 2: Design the measurement extension solution and it is only applicable for the partial collision case between the SSB/SMTC occasions and the switching pattern.</w:t>
      </w:r>
    </w:p>
    <w:p w14:paraId="6583274A">
      <w:pPr>
        <w:pStyle w:val="2"/>
        <w:bidi w:val="0"/>
        <w:rPr>
          <w:rFonts w:hint="default"/>
          <w:b/>
          <w:bCs/>
          <w:lang w:val="en-US" w:eastAsia="zh-CN"/>
        </w:rPr>
      </w:pPr>
      <w:r>
        <w:rPr>
          <w:rFonts w:hint="eastAsia"/>
          <w:b/>
          <w:bCs/>
          <w:lang w:val="en-US" w:eastAsia="zh-CN"/>
        </w:rPr>
        <w:t xml:space="preserve">Proposal 2: For CSI-RS based measurements(L1 and L3), the measurement extension is needed when the partial collision happens between the CSI-RS resource occasions and the switching pattern. </w:t>
      </w:r>
    </w:p>
    <w:p w14:paraId="6EA17F3C">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3: Confirm the interruption decision achieved in last meeting, no need update.</w:t>
      </w:r>
    </w:p>
    <w:p w14:paraId="3BBECA11">
      <w:pPr>
        <w:pStyle w:val="2"/>
        <w:rPr>
          <w:rFonts w:hint="eastAsia" w:hAnsi="Cambria Math"/>
          <w:b/>
          <w:bCs/>
          <w:i w:val="0"/>
          <w:lang w:val="en-US" w:eastAsia="zh-CN"/>
        </w:rPr>
      </w:pPr>
      <w:r>
        <w:rPr>
          <w:rFonts w:hint="eastAsia"/>
          <w:b/>
          <w:bCs/>
          <w:lang w:val="en-US" w:eastAsia="zh-CN"/>
        </w:rPr>
        <w:t xml:space="preserve">Proposal 4: For the deactivated SDL SCell measurement, the interruption ratio X could be specified as X= </w:t>
      </w:r>
      <m:oMath>
        <m:f>
          <m:fPr>
            <m:ctrlPr>
              <w:rPr>
                <w:rFonts w:hint="eastAsia" w:ascii="Cambria Math" w:hAnsi="Cambria Math"/>
                <w:b/>
                <w:bCs/>
                <w:lang w:val="en-US" w:eastAsia="zh-CN"/>
              </w:rPr>
            </m:ctrlPr>
          </m:fPr>
          <m:num>
            <m:r>
              <m:rPr>
                <m:sty m:val="b"/>
              </m:rPr>
              <w:rPr>
                <w:rFonts w:hint="eastAsia" w:ascii="Cambria Math" w:hAnsi="Cambria Math"/>
                <w:lang w:val="en-US" w:eastAsia="zh-CN"/>
              </w:rPr>
              <m:t>Y</m:t>
            </m:r>
            <m:ctrlPr>
              <w:rPr>
                <w:rFonts w:hint="eastAsia" w:ascii="Cambria Math" w:hAnsi="Cambria Math"/>
                <w:b/>
                <w:bCs/>
                <w:lang w:val="en-US" w:eastAsia="zh-CN"/>
              </w:rPr>
            </m:ctrlPr>
          </m:num>
          <m:den>
            <m:r>
              <m:rPr>
                <m:sty m:val="b"/>
              </m:rPr>
              <w:rPr>
                <w:rFonts w:hint="eastAsia" w:ascii="Cambria Math" w:hAnsi="Cambria Math"/>
                <w:lang w:val="en-US" w:eastAsia="zh-CN"/>
              </w:rPr>
              <m:t>measCycleSCell</m:t>
            </m:r>
            <m:ctrlPr>
              <w:rPr>
                <w:rFonts w:hint="eastAsia" w:ascii="Cambria Math" w:hAnsi="Cambria Math"/>
                <w:b/>
                <w:bCs/>
                <w:lang w:val="en-US" w:eastAsia="zh-CN"/>
              </w:rPr>
            </m:ctrlPr>
          </m:den>
        </m:f>
      </m:oMath>
      <w:r>
        <w:rPr>
          <w:rFonts w:hint="eastAsia" w:hAnsi="Cambria Math"/>
          <w:b/>
          <w:bCs/>
          <w:i w:val="0"/>
          <w:lang w:val="en-US" w:eastAsia="zh-CN"/>
        </w:rPr>
        <w:t xml:space="preserve"> , where Y=2* (switching period + measurement window + switching period), in slot level, because both scheduled PDSCH/PDCCH and ACK/NACK transmission of schedule PDSCH is interrupted.</w:t>
      </w:r>
    </w:p>
    <w:p w14:paraId="2B19DF5E">
      <w:pPr>
        <w:pStyle w:val="2"/>
        <w:bidi w:val="0"/>
        <w:rPr>
          <w:rFonts w:hint="eastAsia"/>
          <w:b/>
          <w:bCs/>
          <w:lang w:val="en-US" w:eastAsia="zh-CN"/>
        </w:rPr>
      </w:pPr>
      <w:r>
        <w:rPr>
          <w:rFonts w:hint="eastAsia"/>
          <w:b/>
          <w:bCs/>
          <w:lang w:val="en-US" w:eastAsia="zh-CN"/>
        </w:rPr>
        <w:t>Proposal 5: To make sure in which RS occasions the switching is expected, NW and UE should achieve common understanding regarding whether the SDL SCell is known or unknown.</w:t>
      </w:r>
    </w:p>
    <w:p w14:paraId="78665FB6">
      <w:pPr>
        <w:pStyle w:val="2"/>
        <w:bidi w:val="0"/>
        <w:rPr>
          <w:rFonts w:hint="default"/>
          <w:lang w:val="en-US" w:eastAsia="zh-CN"/>
        </w:rPr>
      </w:pPr>
      <w:r>
        <w:rPr>
          <w:rFonts w:hint="eastAsia"/>
          <w:b/>
          <w:bCs/>
          <w:lang w:val="en-US" w:eastAsia="zh-CN"/>
        </w:rPr>
        <w:t xml:space="preserve">Proposal 6: The starting point and ending point of CSI measurement for the sake of CSI reporting should be determined. </w:t>
      </w:r>
    </w:p>
    <w:p w14:paraId="697CBBBF">
      <w:pPr>
        <w:pStyle w:val="2"/>
        <w:bidi w:val="0"/>
        <w:rPr>
          <w:rFonts w:hint="default"/>
          <w:lang w:val="en-US" w:eastAsia="zh-CN"/>
        </w:rPr>
      </w:pPr>
      <w:r>
        <w:rPr>
          <w:rFonts w:hint="eastAsia"/>
          <w:b/>
          <w:bCs/>
          <w:lang w:val="en-US" w:eastAsia="zh-CN"/>
        </w:rPr>
        <w:t xml:space="preserve">Proposal 7: The length of interruption or scheduling restriction in FDD PCell caused by SDL SCell activation could be defined as {(switching period for FDD-to-SDL) + SSB/SMTC/CSI-RS duration + (switching period for FDD-to-SDL)}. </w:t>
      </w:r>
    </w:p>
    <w:p w14:paraId="4F982635">
      <w:pPr>
        <w:pStyle w:val="2"/>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8: UE performs intra-frequency measurement for PCell within the PCell ON duration, no need additional enhancement.</w:t>
      </w:r>
    </w:p>
    <w:p w14:paraId="5809E0FE">
      <w:pPr>
        <w:pStyle w:val="3"/>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E32182E">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224A7C4"/>
    <w:multiLevelType w:val="singleLevel"/>
    <w:tmpl w:val="3224A7C4"/>
    <w:lvl w:ilvl="0" w:tentative="0">
      <w:start w:val="1"/>
      <w:numFmt w:val="bullet"/>
      <w:lvlText w:val=""/>
      <w:lvlJc w:val="left"/>
      <w:pPr>
        <w:ind w:left="420" w:hanging="420"/>
      </w:pPr>
      <w:rPr>
        <w:rFonts w:hint="default" w:ascii="Wingdings" w:hAnsi="Wingdings"/>
      </w:rPr>
    </w:lvl>
  </w:abstractNum>
  <w:abstractNum w:abstractNumId="3">
    <w:nsid w:val="377E2ADD"/>
    <w:multiLevelType w:val="multilevel"/>
    <w:tmpl w:val="377E2ADD"/>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4">
    <w:nsid w:val="4067289C"/>
    <w:multiLevelType w:val="singleLevel"/>
    <w:tmpl w:val="4067289C"/>
    <w:lvl w:ilvl="0" w:tentative="0">
      <w:start w:val="1"/>
      <w:numFmt w:val="decimal"/>
      <w:suff w:val="space"/>
      <w:lvlText w:val="%1)"/>
      <w:lvlJc w:val="left"/>
    </w:lvl>
  </w:abstractNum>
  <w:abstractNum w:abstractNumId="5">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F87468"/>
    <w:multiLevelType w:val="multilevel"/>
    <w:tmpl w:val="4DF87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5"/>
  </w:num>
  <w:num w:numId="4">
    <w:abstractNumId w:val="1"/>
  </w:num>
  <w:num w:numId="5">
    <w:abstractNumId w:val="2"/>
  </w:num>
  <w:num w:numId="6">
    <w:abstractNumId w:val="3"/>
  </w:num>
  <w:num w:numId="7">
    <w:abstractNumId w:val="8"/>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8D32AB"/>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Times New Roman" w:cs="Times New Roman"/>
      <w:szCs w:val="24"/>
      <w:lang w:val="en-US" w:eastAsia="en-US" w:bidi="ar-SA"/>
    </w:rPr>
  </w:style>
  <w:style w:type="paragraph" w:styleId="3">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5"/>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7">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0"/>
    <w:pPr>
      <w:spacing w:after="120"/>
      <w:jc w:val="both"/>
    </w:pPr>
    <w:rPr>
      <w:rFonts w:eastAsia="MS Mincho"/>
      <w:lang w:val="zh-CN"/>
    </w:r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2"/>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3"/>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9"/>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8"/>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2"/>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2025-08-15T14:57:19Z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